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13AF" w14:textId="77777777" w:rsidR="00030B15" w:rsidRPr="00CA329C" w:rsidRDefault="00030B15" w:rsidP="00030B15">
      <w:pPr>
        <w:jc w:val="right"/>
        <w:rPr>
          <w:rFonts w:ascii="Bookman Old Style" w:hAnsi="Bookman Old Style"/>
          <w:sz w:val="22"/>
          <w:szCs w:val="22"/>
        </w:rPr>
      </w:pPr>
    </w:p>
    <w:p w14:paraId="2B9EE7BE" w14:textId="77777777" w:rsidR="009A490B" w:rsidRPr="00CA329C" w:rsidRDefault="009A490B" w:rsidP="007A79E4">
      <w:pPr>
        <w:rPr>
          <w:rFonts w:ascii="Bookman Old Style" w:hAnsi="Bookman Old Style"/>
          <w:sz w:val="22"/>
          <w:szCs w:val="22"/>
        </w:rPr>
      </w:pPr>
    </w:p>
    <w:p w14:paraId="2414D9D6" w14:textId="436AEC27" w:rsidR="007A79E4" w:rsidRPr="00CA329C" w:rsidRDefault="007A79E4" w:rsidP="007A79E4">
      <w:pPr>
        <w:rPr>
          <w:rFonts w:ascii="Bookman Old Style" w:hAnsi="Bookman Old Style"/>
          <w:sz w:val="22"/>
          <w:szCs w:val="22"/>
        </w:rPr>
      </w:pPr>
      <w:r w:rsidRPr="00CA329C">
        <w:rPr>
          <w:rFonts w:ascii="Bookman Old Style" w:hAnsi="Bookman Old Style"/>
          <w:sz w:val="22"/>
          <w:szCs w:val="22"/>
        </w:rPr>
        <w:t xml:space="preserve">Bogotá D.C., </w:t>
      </w:r>
      <w:r w:rsidR="00C94A51" w:rsidRPr="00CA329C">
        <w:rPr>
          <w:rFonts w:ascii="Bookman Old Style" w:hAnsi="Bookman Old Style"/>
          <w:sz w:val="22"/>
          <w:szCs w:val="22"/>
        </w:rPr>
        <w:t>noviembre</w:t>
      </w:r>
      <w:r w:rsidRPr="00CA329C">
        <w:rPr>
          <w:rFonts w:ascii="Bookman Old Style" w:hAnsi="Bookman Old Style"/>
          <w:sz w:val="22"/>
          <w:szCs w:val="22"/>
        </w:rPr>
        <w:t xml:space="preserve"> de 2024</w:t>
      </w:r>
    </w:p>
    <w:p w14:paraId="4EF59E6A" w14:textId="77777777" w:rsidR="007A79E4" w:rsidRPr="00CA329C" w:rsidRDefault="007A79E4" w:rsidP="007A79E4">
      <w:pPr>
        <w:rPr>
          <w:rFonts w:ascii="Bookman Old Style" w:hAnsi="Bookman Old Style"/>
        </w:rPr>
      </w:pPr>
    </w:p>
    <w:p w14:paraId="3FCB20C6" w14:textId="77777777" w:rsidR="007A79E4" w:rsidRPr="00CA329C" w:rsidRDefault="007A79E4" w:rsidP="007A79E4">
      <w:pPr>
        <w:rPr>
          <w:rFonts w:ascii="Bookman Old Style" w:hAnsi="Bookman Old Style"/>
        </w:rPr>
      </w:pPr>
    </w:p>
    <w:p w14:paraId="6EB524B8" w14:textId="64524BB3" w:rsidR="007A79E4" w:rsidRPr="00CA329C" w:rsidRDefault="007A79E4" w:rsidP="007A79E4">
      <w:pPr>
        <w:rPr>
          <w:rFonts w:ascii="Bookman Old Style" w:hAnsi="Bookman Old Style"/>
        </w:rPr>
      </w:pPr>
      <w:r w:rsidRPr="00CA329C">
        <w:rPr>
          <w:rFonts w:ascii="Bookman Old Style" w:hAnsi="Bookman Old Style"/>
        </w:rPr>
        <w:t xml:space="preserve">Honorable </w:t>
      </w:r>
      <w:r w:rsidR="00C94A51" w:rsidRPr="00CA329C">
        <w:rPr>
          <w:rFonts w:ascii="Bookman Old Style" w:hAnsi="Bookman Old Style"/>
        </w:rPr>
        <w:t>Representante</w:t>
      </w:r>
      <w:r w:rsidRPr="00CA329C">
        <w:rPr>
          <w:rFonts w:ascii="Bookman Old Style" w:hAnsi="Bookman Old Style"/>
        </w:rPr>
        <w:t xml:space="preserve"> </w:t>
      </w:r>
    </w:p>
    <w:p w14:paraId="364E8A0D" w14:textId="44F2A0DF" w:rsidR="007A79E4" w:rsidRPr="00CA329C" w:rsidRDefault="00C94A51" w:rsidP="007A79E4">
      <w:pPr>
        <w:rPr>
          <w:rFonts w:ascii="Bookman Old Style" w:hAnsi="Bookman Old Style"/>
          <w:b/>
          <w:bCs/>
        </w:rPr>
      </w:pPr>
      <w:r w:rsidRPr="00CA329C">
        <w:rPr>
          <w:rFonts w:ascii="Bookman Old Style" w:hAnsi="Bookman Old Style"/>
          <w:b/>
          <w:bCs/>
        </w:rPr>
        <w:t>ANA PAOLA GARCÍA SOTO</w:t>
      </w:r>
    </w:p>
    <w:p w14:paraId="7E12DB14" w14:textId="77777777" w:rsidR="007A79E4" w:rsidRPr="00CA329C" w:rsidRDefault="007A79E4" w:rsidP="007A79E4">
      <w:pPr>
        <w:rPr>
          <w:rFonts w:ascii="Bookman Old Style" w:hAnsi="Bookman Old Style"/>
        </w:rPr>
      </w:pPr>
      <w:r w:rsidRPr="00CA329C">
        <w:rPr>
          <w:rFonts w:ascii="Bookman Old Style" w:hAnsi="Bookman Old Style"/>
        </w:rPr>
        <w:t>Presidente</w:t>
      </w:r>
    </w:p>
    <w:p w14:paraId="346B7D9C" w14:textId="77777777" w:rsidR="007A79E4" w:rsidRPr="00CA329C" w:rsidRDefault="007A79E4" w:rsidP="007A79E4">
      <w:pPr>
        <w:rPr>
          <w:rFonts w:ascii="Bookman Old Style" w:hAnsi="Bookman Old Style"/>
        </w:rPr>
      </w:pPr>
      <w:r w:rsidRPr="00CA329C">
        <w:rPr>
          <w:rFonts w:ascii="Bookman Old Style" w:hAnsi="Bookman Old Style"/>
        </w:rPr>
        <w:t xml:space="preserve">Comisión Primera Constitucional Permanente </w:t>
      </w:r>
    </w:p>
    <w:p w14:paraId="1ABEA084" w14:textId="4ADF7220" w:rsidR="007A79E4" w:rsidRPr="00CA329C" w:rsidRDefault="00C94A51" w:rsidP="007A79E4">
      <w:pPr>
        <w:rPr>
          <w:rFonts w:ascii="Bookman Old Style" w:hAnsi="Bookman Old Style"/>
        </w:rPr>
      </w:pPr>
      <w:r w:rsidRPr="00CA329C">
        <w:rPr>
          <w:rFonts w:ascii="Bookman Old Style" w:hAnsi="Bookman Old Style"/>
        </w:rPr>
        <w:t>Cámara de Representantes</w:t>
      </w:r>
    </w:p>
    <w:p w14:paraId="1E20AF70" w14:textId="77777777" w:rsidR="007A79E4" w:rsidRPr="00CA329C" w:rsidRDefault="007A79E4" w:rsidP="007A79E4">
      <w:pPr>
        <w:ind w:left="2835"/>
        <w:jc w:val="both"/>
        <w:rPr>
          <w:rFonts w:ascii="Bookman Old Style" w:hAnsi="Bookman Old Style"/>
        </w:rPr>
      </w:pPr>
    </w:p>
    <w:p w14:paraId="66F71A1A" w14:textId="77777777" w:rsidR="007A79E4" w:rsidRPr="00CA329C" w:rsidRDefault="007A79E4" w:rsidP="007A79E4">
      <w:pPr>
        <w:jc w:val="both"/>
        <w:rPr>
          <w:rFonts w:ascii="Bookman Old Style" w:hAnsi="Bookman Old Style"/>
          <w:b/>
          <w:bCs/>
        </w:rPr>
      </w:pPr>
    </w:p>
    <w:p w14:paraId="30B13D0D" w14:textId="77777777" w:rsidR="007A79E4" w:rsidRPr="00CA329C" w:rsidRDefault="007A79E4" w:rsidP="007A79E4">
      <w:pPr>
        <w:jc w:val="both"/>
        <w:rPr>
          <w:rFonts w:ascii="Bookman Old Style" w:hAnsi="Bookman Old Style"/>
          <w:b/>
          <w:bCs/>
        </w:rPr>
      </w:pPr>
    </w:p>
    <w:p w14:paraId="1A7FDAE4" w14:textId="1ACADCA0" w:rsidR="007A79E4" w:rsidRPr="00CA329C" w:rsidRDefault="007A79E4" w:rsidP="00CA329C">
      <w:pPr>
        <w:ind w:left="1134" w:hanging="1134"/>
        <w:jc w:val="both"/>
        <w:rPr>
          <w:rFonts w:ascii="Bookman Old Style" w:hAnsi="Bookman Old Style"/>
          <w:b/>
          <w:bCs/>
        </w:rPr>
      </w:pPr>
      <w:r w:rsidRPr="00CA329C">
        <w:rPr>
          <w:rFonts w:ascii="Bookman Old Style" w:hAnsi="Bookman Old Style"/>
          <w:b/>
          <w:bCs/>
        </w:rPr>
        <w:t xml:space="preserve">Asunto: </w:t>
      </w:r>
      <w:r w:rsidRPr="00CA329C">
        <w:rPr>
          <w:rFonts w:ascii="Bookman Old Style" w:hAnsi="Bookman Old Style"/>
        </w:rPr>
        <w:t xml:space="preserve">Ponencia para primer debate al </w:t>
      </w:r>
      <w:bookmarkStart w:id="0" w:name="_Hlk183160199"/>
      <w:r w:rsidRPr="00CA329C">
        <w:rPr>
          <w:rFonts w:ascii="Bookman Old Style" w:hAnsi="Bookman Old Style"/>
        </w:rPr>
        <w:t xml:space="preserve">Proyecto de Ley Nº </w:t>
      </w:r>
      <w:r w:rsidR="00C94A51" w:rsidRPr="00CA329C">
        <w:rPr>
          <w:rFonts w:ascii="Bookman Old Style" w:hAnsi="Bookman Old Style"/>
        </w:rPr>
        <w:t xml:space="preserve">425 de 2024 Cámara - </w:t>
      </w:r>
      <w:r w:rsidRPr="00CA329C">
        <w:rPr>
          <w:rFonts w:ascii="Bookman Old Style" w:hAnsi="Bookman Old Style"/>
        </w:rPr>
        <w:t xml:space="preserve">213 de 2024 Senado </w:t>
      </w:r>
      <w:r w:rsidRPr="00CA329C">
        <w:rPr>
          <w:rFonts w:ascii="Bookman Old Style" w:hAnsi="Bookman Old Style" w:cstheme="minorHAnsi"/>
          <w:iCs/>
        </w:rPr>
        <w:t>“</w:t>
      </w:r>
      <w:r w:rsidR="004E6761" w:rsidRPr="00CA329C">
        <w:rPr>
          <w:rFonts w:ascii="Bookman Old Style" w:hAnsi="Bookman Old Style"/>
          <w:i/>
          <w:iCs/>
        </w:rPr>
        <w:t>Por el cual se establecen disposiciones para dar continuidad a la función pública de control fiscal al Sistema General de Regalías en el bienio 2025-2026”</w:t>
      </w:r>
      <w:r w:rsidRPr="00CA329C">
        <w:rPr>
          <w:rFonts w:ascii="Bookman Old Style" w:hAnsi="Bookman Old Style" w:cstheme="minorHAnsi"/>
        </w:rPr>
        <w:t>.</w:t>
      </w:r>
    </w:p>
    <w:bookmarkEnd w:id="0"/>
    <w:p w14:paraId="6EA9C4E0" w14:textId="77777777" w:rsidR="00030B15" w:rsidRPr="00CA329C" w:rsidRDefault="00030B15" w:rsidP="00030B15">
      <w:pPr>
        <w:rPr>
          <w:rFonts w:ascii="Bookman Old Style" w:hAnsi="Bookman Old Style"/>
        </w:rPr>
      </w:pPr>
    </w:p>
    <w:p w14:paraId="17F9FB1B" w14:textId="77777777" w:rsidR="00B9378B" w:rsidRPr="00CA329C" w:rsidRDefault="00B9378B" w:rsidP="00030B15">
      <w:pPr>
        <w:rPr>
          <w:rFonts w:ascii="Bookman Old Style" w:hAnsi="Bookman Old Style"/>
        </w:rPr>
      </w:pPr>
    </w:p>
    <w:p w14:paraId="01F2CA27" w14:textId="1A8DE5A7" w:rsidR="00030B15" w:rsidRPr="00CA329C" w:rsidRDefault="009A490B" w:rsidP="00030B15">
      <w:pPr>
        <w:rPr>
          <w:rFonts w:ascii="Bookman Old Style" w:hAnsi="Bookman Old Style"/>
        </w:rPr>
      </w:pPr>
      <w:r w:rsidRPr="00CA329C">
        <w:rPr>
          <w:rFonts w:ascii="Bookman Old Style" w:hAnsi="Bookman Old Style"/>
        </w:rPr>
        <w:t>Respetada</w:t>
      </w:r>
      <w:r w:rsidR="00030B15" w:rsidRPr="00CA329C">
        <w:rPr>
          <w:rFonts w:ascii="Bookman Old Style" w:hAnsi="Bookman Old Style"/>
        </w:rPr>
        <w:t xml:space="preserve"> </w:t>
      </w:r>
      <w:proofErr w:type="gramStart"/>
      <w:r w:rsidR="007A79E4" w:rsidRPr="00CA329C">
        <w:rPr>
          <w:rFonts w:ascii="Bookman Old Style" w:hAnsi="Bookman Old Style"/>
        </w:rPr>
        <w:t>P</w:t>
      </w:r>
      <w:r w:rsidR="00030B15" w:rsidRPr="00CA329C">
        <w:rPr>
          <w:rFonts w:ascii="Bookman Old Style" w:hAnsi="Bookman Old Style"/>
        </w:rPr>
        <w:t>residente</w:t>
      </w:r>
      <w:proofErr w:type="gramEnd"/>
      <w:r w:rsidR="00030B15" w:rsidRPr="00CA329C">
        <w:rPr>
          <w:rFonts w:ascii="Bookman Old Style" w:hAnsi="Bookman Old Style"/>
        </w:rPr>
        <w:t xml:space="preserve">; </w:t>
      </w:r>
    </w:p>
    <w:p w14:paraId="5A41E88C" w14:textId="77777777" w:rsidR="00FE55AB" w:rsidRPr="00CA329C" w:rsidRDefault="00FE55AB" w:rsidP="00030B15">
      <w:pPr>
        <w:jc w:val="both"/>
        <w:rPr>
          <w:rFonts w:ascii="Bookman Old Style" w:hAnsi="Bookman Old Style"/>
        </w:rPr>
      </w:pPr>
    </w:p>
    <w:p w14:paraId="130AF8F8" w14:textId="77777777" w:rsidR="00B9378B" w:rsidRPr="00CA329C" w:rsidRDefault="00B9378B" w:rsidP="00030B15">
      <w:pPr>
        <w:jc w:val="both"/>
        <w:rPr>
          <w:rFonts w:ascii="Bookman Old Style" w:hAnsi="Bookman Old Style"/>
        </w:rPr>
      </w:pPr>
    </w:p>
    <w:p w14:paraId="1EC367E4" w14:textId="2E417047" w:rsidR="007A79E4" w:rsidRPr="00CA329C" w:rsidRDefault="00030B15" w:rsidP="007A79E4">
      <w:pPr>
        <w:jc w:val="both"/>
        <w:rPr>
          <w:rFonts w:ascii="Bookman Old Style" w:eastAsia="Times New Roman" w:hAnsi="Bookman Old Style" w:cs="Arial"/>
          <w:bCs/>
        </w:rPr>
      </w:pPr>
      <w:r w:rsidRPr="00CA329C">
        <w:rPr>
          <w:rFonts w:ascii="Bookman Old Style" w:hAnsi="Bookman Old Style"/>
        </w:rPr>
        <w:t xml:space="preserve">En </w:t>
      </w:r>
      <w:r w:rsidR="007A79E4" w:rsidRPr="00CA329C">
        <w:rPr>
          <w:rFonts w:ascii="Bookman Old Style" w:hAnsi="Bookman Old Style"/>
        </w:rPr>
        <w:t>cumplimiento de la designación recibida por parte de la honrable Mesa Directiva de la C</w:t>
      </w:r>
      <w:r w:rsidR="009A490B" w:rsidRPr="00CA329C">
        <w:rPr>
          <w:rFonts w:ascii="Bookman Old Style" w:hAnsi="Bookman Old Style"/>
        </w:rPr>
        <w:t xml:space="preserve">omisión Primera </w:t>
      </w:r>
      <w:r w:rsidR="00C94A51" w:rsidRPr="00CA329C">
        <w:rPr>
          <w:rFonts w:ascii="Bookman Old Style" w:hAnsi="Bookman Old Style"/>
        </w:rPr>
        <w:t>de la Cámara de Representantes</w:t>
      </w:r>
      <w:r w:rsidR="007A79E4" w:rsidRPr="00CA329C">
        <w:rPr>
          <w:rFonts w:ascii="Bookman Old Style" w:hAnsi="Bookman Old Style"/>
        </w:rPr>
        <w:t xml:space="preserve">, y de conformidad con las disposiciones establecidas en el artículo 150 de la Ley 5ª de 1992, procedo a rendir el informe de ponencia para primer debate </w:t>
      </w:r>
      <w:r w:rsidR="009A490B" w:rsidRPr="00CA329C">
        <w:rPr>
          <w:rFonts w:ascii="Bookman Old Style" w:hAnsi="Bookman Old Style"/>
        </w:rPr>
        <w:t xml:space="preserve">en Cámara de Representantes </w:t>
      </w:r>
      <w:r w:rsidR="007A79E4" w:rsidRPr="00CA329C">
        <w:rPr>
          <w:rFonts w:ascii="Bookman Old Style" w:hAnsi="Bookman Old Style"/>
        </w:rPr>
        <w:t xml:space="preserve">del </w:t>
      </w:r>
      <w:bookmarkStart w:id="1" w:name="_Hlk177457679"/>
      <w:r w:rsidR="007A79E4" w:rsidRPr="00CA329C">
        <w:rPr>
          <w:rFonts w:ascii="Bookman Old Style" w:hAnsi="Bookman Old Style"/>
        </w:rPr>
        <w:t xml:space="preserve">Proyecto de Ley Nº </w:t>
      </w:r>
      <w:r w:rsidR="00C94A51" w:rsidRPr="00CA329C">
        <w:rPr>
          <w:rFonts w:ascii="Bookman Old Style" w:hAnsi="Bookman Old Style"/>
        </w:rPr>
        <w:t xml:space="preserve">425 de 2024 Cámara - </w:t>
      </w:r>
      <w:r w:rsidR="007A79E4" w:rsidRPr="00CA329C">
        <w:rPr>
          <w:rFonts w:ascii="Bookman Old Style" w:hAnsi="Bookman Old Style"/>
        </w:rPr>
        <w:t xml:space="preserve">213 de 2024 Senado </w:t>
      </w:r>
      <w:r w:rsidR="007A79E4" w:rsidRPr="00CA329C">
        <w:rPr>
          <w:rFonts w:ascii="Bookman Old Style" w:hAnsi="Bookman Old Style" w:cstheme="minorHAnsi"/>
        </w:rPr>
        <w:t>“</w:t>
      </w:r>
      <w:r w:rsidR="004E6761" w:rsidRPr="00CA329C">
        <w:rPr>
          <w:rFonts w:ascii="Bookman Old Style" w:eastAsia="Times New Roman" w:hAnsi="Bookman Old Style" w:cs="Arial"/>
          <w:bCs/>
        </w:rPr>
        <w:t>Por el cual se establecen disposiciones para dar continuidad a la función pública de control fiscal al Sistema General de Regalías en el bienio 2025-2026</w:t>
      </w:r>
      <w:r w:rsidR="007A79E4" w:rsidRPr="00CA329C">
        <w:rPr>
          <w:rFonts w:ascii="Bookman Old Style" w:hAnsi="Bookman Old Style"/>
        </w:rPr>
        <w:t>”</w:t>
      </w:r>
      <w:r w:rsidR="007A79E4" w:rsidRPr="00CA329C">
        <w:rPr>
          <w:rFonts w:ascii="Bookman Old Style" w:hAnsi="Bookman Old Style" w:cstheme="minorHAnsi"/>
        </w:rPr>
        <w:t>.</w:t>
      </w:r>
    </w:p>
    <w:bookmarkEnd w:id="1"/>
    <w:p w14:paraId="2D832D69" w14:textId="49754854" w:rsidR="00030B15" w:rsidRPr="00CA329C" w:rsidRDefault="00030B15" w:rsidP="00030B15">
      <w:pPr>
        <w:jc w:val="both"/>
        <w:rPr>
          <w:rFonts w:ascii="Bookman Old Style" w:hAnsi="Bookman Old Style"/>
        </w:rPr>
      </w:pPr>
    </w:p>
    <w:p w14:paraId="1C71EADD" w14:textId="77777777" w:rsidR="00030B15" w:rsidRPr="00CA329C" w:rsidRDefault="00030B15" w:rsidP="00030B15">
      <w:pPr>
        <w:jc w:val="both"/>
        <w:rPr>
          <w:rFonts w:ascii="Bookman Old Style" w:hAnsi="Bookman Old Style"/>
        </w:rPr>
      </w:pPr>
    </w:p>
    <w:p w14:paraId="594BF255" w14:textId="13D8FD63" w:rsidR="00030B15" w:rsidRPr="00CA329C" w:rsidRDefault="004E6761" w:rsidP="00030B15">
      <w:pPr>
        <w:jc w:val="both"/>
        <w:rPr>
          <w:rFonts w:ascii="Bookman Old Style" w:hAnsi="Bookman Old Style"/>
        </w:rPr>
      </w:pPr>
      <w:r w:rsidRPr="00CA329C">
        <w:rPr>
          <w:rFonts w:ascii="Bookman Old Style" w:hAnsi="Bookman Old Style"/>
        </w:rPr>
        <w:t>Atentamente</w:t>
      </w:r>
      <w:r w:rsidR="00030B15" w:rsidRPr="00CA329C">
        <w:rPr>
          <w:rFonts w:ascii="Bookman Old Style" w:hAnsi="Bookman Old Style"/>
        </w:rPr>
        <w:t xml:space="preserve">, </w:t>
      </w:r>
    </w:p>
    <w:p w14:paraId="74C6580C" w14:textId="1D6DDB7C" w:rsidR="00377FAA" w:rsidRDefault="00377FAA" w:rsidP="00030B15">
      <w:pPr>
        <w:jc w:val="both"/>
        <w:rPr>
          <w:rFonts w:ascii="Bookman Old Style" w:hAnsi="Bookman Old Style"/>
        </w:rPr>
      </w:pPr>
    </w:p>
    <w:p w14:paraId="636EF05E" w14:textId="58C254B2" w:rsidR="00CA329C" w:rsidRPr="00CA329C" w:rsidRDefault="00CA329C" w:rsidP="00030B15">
      <w:pPr>
        <w:jc w:val="both"/>
        <w:rPr>
          <w:rFonts w:ascii="Bookman Old Style" w:hAnsi="Bookman Old Style"/>
          <w:sz w:val="22"/>
          <w:szCs w:val="22"/>
        </w:rPr>
      </w:pPr>
    </w:p>
    <w:p w14:paraId="04628924" w14:textId="77777777" w:rsidR="00377FAA" w:rsidRPr="00CA329C" w:rsidRDefault="00377FAA" w:rsidP="00030B15">
      <w:pPr>
        <w:jc w:val="both"/>
        <w:rPr>
          <w:rFonts w:ascii="Bookman Old Style" w:hAnsi="Bookman Old Style"/>
          <w:sz w:val="22"/>
          <w:szCs w:val="22"/>
        </w:rPr>
      </w:pPr>
    </w:p>
    <w:p w14:paraId="57495145" w14:textId="77777777" w:rsidR="000E3FB4" w:rsidRPr="00CA329C" w:rsidRDefault="000E3FB4" w:rsidP="00030B15">
      <w:pPr>
        <w:jc w:val="both"/>
        <w:rPr>
          <w:rFonts w:ascii="Bookman Old Style" w:hAnsi="Bookman Old Style"/>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5"/>
      </w:tblGrid>
      <w:tr w:rsidR="00B9378B" w:rsidRPr="00CA329C" w14:paraId="157AF812" w14:textId="77777777" w:rsidTr="00B9378B">
        <w:trPr>
          <w:trHeight w:val="1099"/>
        </w:trPr>
        <w:tc>
          <w:tcPr>
            <w:tcW w:w="7185" w:type="dxa"/>
          </w:tcPr>
          <w:p w14:paraId="0942D131" w14:textId="3B429EBA" w:rsidR="00B9378B" w:rsidRPr="00CA329C" w:rsidRDefault="00C94A51" w:rsidP="00377FAA">
            <w:pPr>
              <w:rPr>
                <w:rFonts w:ascii="Bookman Old Style" w:hAnsi="Bookman Old Style"/>
                <w:b/>
                <w:bCs/>
              </w:rPr>
            </w:pPr>
            <w:r w:rsidRPr="00CA329C">
              <w:rPr>
                <w:rFonts w:ascii="Bookman Old Style" w:hAnsi="Bookman Old Style"/>
                <w:b/>
                <w:bCs/>
              </w:rPr>
              <w:t>JORGE ELIÉCER TAMAYO MARULANDA</w:t>
            </w:r>
          </w:p>
          <w:p w14:paraId="29D93470" w14:textId="5F6AA16C" w:rsidR="00B9378B" w:rsidRPr="00CA329C" w:rsidRDefault="00C94A51" w:rsidP="00377FAA">
            <w:pPr>
              <w:rPr>
                <w:rFonts w:ascii="Bookman Old Style" w:hAnsi="Bookman Old Style"/>
              </w:rPr>
            </w:pPr>
            <w:r w:rsidRPr="00CA329C">
              <w:rPr>
                <w:rFonts w:ascii="Bookman Old Style" w:hAnsi="Bookman Old Style"/>
              </w:rPr>
              <w:t>Representante a la Cámara</w:t>
            </w:r>
          </w:p>
          <w:p w14:paraId="39D67AF4" w14:textId="2B0DE098" w:rsidR="004E6761" w:rsidRPr="00CA329C" w:rsidRDefault="004E6761" w:rsidP="00C94A51">
            <w:pPr>
              <w:rPr>
                <w:rFonts w:ascii="Bookman Old Style" w:hAnsi="Bookman Old Style"/>
              </w:rPr>
            </w:pPr>
            <w:r w:rsidRPr="00CA329C">
              <w:rPr>
                <w:rFonts w:ascii="Bookman Old Style" w:hAnsi="Bookman Old Style"/>
              </w:rPr>
              <w:t xml:space="preserve">Partido </w:t>
            </w:r>
            <w:r w:rsidR="00C94A51" w:rsidRPr="00CA329C">
              <w:rPr>
                <w:rFonts w:ascii="Bookman Old Style" w:hAnsi="Bookman Old Style"/>
              </w:rPr>
              <w:t>de la U</w:t>
            </w:r>
          </w:p>
        </w:tc>
      </w:tr>
    </w:tbl>
    <w:p w14:paraId="11AA654F" w14:textId="32084321" w:rsidR="00363DC4" w:rsidRDefault="00363DC4" w:rsidP="00972AB4">
      <w:pPr>
        <w:rPr>
          <w:rFonts w:ascii="Bookman Old Style" w:hAnsi="Bookman Old Style"/>
          <w:b/>
          <w:bCs/>
        </w:rPr>
      </w:pPr>
    </w:p>
    <w:p w14:paraId="020421EF" w14:textId="77777777" w:rsidR="00CA329C" w:rsidRPr="00CA329C" w:rsidRDefault="00CA329C" w:rsidP="00972AB4">
      <w:pPr>
        <w:rPr>
          <w:rFonts w:ascii="Bookman Old Style" w:hAnsi="Bookman Old Style"/>
          <w:b/>
          <w:bCs/>
        </w:rPr>
      </w:pPr>
    </w:p>
    <w:p w14:paraId="099D083F" w14:textId="10E1998A" w:rsidR="00343A05" w:rsidRPr="00CA329C" w:rsidRDefault="00343A05" w:rsidP="009A490B">
      <w:pPr>
        <w:jc w:val="both"/>
        <w:rPr>
          <w:rFonts w:ascii="Bookman Old Style" w:hAnsi="Bookman Old Style"/>
          <w:b/>
          <w:bCs/>
        </w:rPr>
      </w:pPr>
      <w:bookmarkStart w:id="2" w:name="_Toc175635380"/>
      <w:r w:rsidRPr="00CA329C">
        <w:rPr>
          <w:rFonts w:ascii="Bookman Old Style" w:hAnsi="Bookman Old Style"/>
          <w:b/>
          <w:bCs/>
        </w:rPr>
        <w:lastRenderedPageBreak/>
        <w:t>INFORME DE PONENCIA PARA PRIMER DEBATE</w:t>
      </w:r>
      <w:r w:rsidR="00C94A51" w:rsidRPr="00CA329C">
        <w:rPr>
          <w:rFonts w:ascii="Bookman Old Style" w:hAnsi="Bookman Old Style"/>
          <w:b/>
          <w:bCs/>
        </w:rPr>
        <w:t xml:space="preserve"> EN CÁMARA DE REPRESENTANTES,</w:t>
      </w:r>
      <w:r w:rsidRPr="00CA329C">
        <w:rPr>
          <w:rFonts w:ascii="Bookman Old Style" w:hAnsi="Bookman Old Style"/>
          <w:b/>
          <w:bCs/>
        </w:rPr>
        <w:t xml:space="preserve"> Proyecto de Ley Nº </w:t>
      </w:r>
      <w:r w:rsidR="00C94A51" w:rsidRPr="00CA329C">
        <w:rPr>
          <w:rFonts w:ascii="Bookman Old Style" w:hAnsi="Bookman Old Style"/>
          <w:b/>
          <w:bCs/>
        </w:rPr>
        <w:t xml:space="preserve">425 de 2024 Cámara - </w:t>
      </w:r>
      <w:r w:rsidRPr="00CA329C">
        <w:rPr>
          <w:rFonts w:ascii="Bookman Old Style" w:hAnsi="Bookman Old Style"/>
          <w:b/>
          <w:bCs/>
        </w:rPr>
        <w:t>213 de 2024 Senado “Por el cual se establecen disposiciones para dar continuidad a la función pública de control fiscal al Sistema General de Regalías en el bienio 2025-2026”.</w:t>
      </w:r>
    </w:p>
    <w:p w14:paraId="0E788B9C" w14:textId="77777777" w:rsidR="00343A05" w:rsidRPr="00CA329C" w:rsidRDefault="00343A05" w:rsidP="00343A05">
      <w:pPr>
        <w:rPr>
          <w:rFonts w:ascii="Bookman Old Style" w:hAnsi="Bookman Old Style"/>
          <w:b/>
          <w:bCs/>
        </w:rPr>
      </w:pPr>
    </w:p>
    <w:p w14:paraId="6C9EE6AB" w14:textId="23246FA3" w:rsidR="00343A05" w:rsidRPr="00CA329C" w:rsidRDefault="00343A05" w:rsidP="00343A05">
      <w:pPr>
        <w:rPr>
          <w:rFonts w:ascii="Bookman Old Style" w:hAnsi="Bookman Old Style"/>
          <w:b/>
          <w:bCs/>
        </w:rPr>
      </w:pPr>
      <w:r w:rsidRPr="00CA329C">
        <w:rPr>
          <w:rFonts w:ascii="Bookman Old Style" w:hAnsi="Bookman Old Style"/>
          <w:b/>
          <w:bCs/>
        </w:rPr>
        <w:t xml:space="preserve">1. </w:t>
      </w:r>
      <w:r w:rsidR="000B71BE" w:rsidRPr="00CA329C">
        <w:rPr>
          <w:rFonts w:ascii="Bookman Old Style" w:hAnsi="Bookman Old Style"/>
          <w:b/>
          <w:bCs/>
        </w:rPr>
        <w:t>Trámite del Proyecto</w:t>
      </w:r>
    </w:p>
    <w:p w14:paraId="4A568EF0" w14:textId="77777777" w:rsidR="000B71BE" w:rsidRPr="00CA329C" w:rsidRDefault="000B71BE" w:rsidP="00343A05">
      <w:pPr>
        <w:rPr>
          <w:rFonts w:ascii="Bookman Old Style" w:hAnsi="Bookman Old Style"/>
          <w:b/>
          <w:bCs/>
        </w:rPr>
      </w:pPr>
    </w:p>
    <w:p w14:paraId="64163735" w14:textId="5CB0F919" w:rsidR="00343A05" w:rsidRPr="00CA329C" w:rsidRDefault="000B71BE" w:rsidP="00C94A51">
      <w:pPr>
        <w:jc w:val="both"/>
        <w:rPr>
          <w:rFonts w:ascii="Bookman Old Style" w:hAnsi="Bookman Old Style"/>
          <w:lang w:val="es-ES"/>
        </w:rPr>
      </w:pPr>
      <w:r w:rsidRPr="00CA329C">
        <w:rPr>
          <w:rFonts w:ascii="Bookman Old Style" w:hAnsi="Bookman Old Style"/>
          <w:lang w:val="es-ES"/>
        </w:rPr>
        <w:t xml:space="preserve">El proyecto de Ley fue radicado el 3 de septiembre de 2024 por el Señor Contralor General de la República, Carlos Hernán Rodríguez Becerra en le Secretaría General del Senado de la República, siendo este publicado en la gaceta </w:t>
      </w:r>
      <w:r w:rsidR="00C850EC" w:rsidRPr="00CA329C">
        <w:rPr>
          <w:rFonts w:ascii="Bookman Old Style" w:hAnsi="Bookman Old Style"/>
          <w:lang w:val="es-ES"/>
        </w:rPr>
        <w:t>1555</w:t>
      </w:r>
      <w:r w:rsidRPr="00CA329C">
        <w:rPr>
          <w:rFonts w:ascii="Bookman Old Style" w:hAnsi="Bookman Old Style"/>
          <w:lang w:val="es-ES"/>
        </w:rPr>
        <w:t xml:space="preserve"> de</w:t>
      </w:r>
      <w:r w:rsidR="00C850EC" w:rsidRPr="00CA329C">
        <w:rPr>
          <w:rFonts w:ascii="Bookman Old Style" w:hAnsi="Bookman Old Style"/>
          <w:lang w:val="es-ES"/>
        </w:rPr>
        <w:t>l 24 de septiembre del</w:t>
      </w:r>
      <w:r w:rsidRPr="00CA329C">
        <w:rPr>
          <w:rFonts w:ascii="Bookman Old Style" w:hAnsi="Bookman Old Style"/>
          <w:lang w:val="es-ES"/>
        </w:rPr>
        <w:t xml:space="preserve"> 2024.</w:t>
      </w:r>
    </w:p>
    <w:p w14:paraId="5D60D053" w14:textId="77777777" w:rsidR="000B71BE" w:rsidRPr="00CA329C" w:rsidRDefault="000B71BE" w:rsidP="00343A05">
      <w:pPr>
        <w:rPr>
          <w:rFonts w:ascii="Bookman Old Style" w:hAnsi="Bookman Old Style"/>
          <w:lang w:val="es-ES"/>
        </w:rPr>
      </w:pPr>
    </w:p>
    <w:p w14:paraId="68F011D7" w14:textId="45B06847" w:rsidR="00C94A51" w:rsidRPr="00CA329C" w:rsidRDefault="00C94A51" w:rsidP="00C94A51">
      <w:pPr>
        <w:jc w:val="both"/>
        <w:rPr>
          <w:rFonts w:ascii="Bookman Old Style" w:hAnsi="Bookman Old Style"/>
          <w:lang w:val="es-ES"/>
        </w:rPr>
      </w:pPr>
      <w:r w:rsidRPr="00CA329C">
        <w:rPr>
          <w:rFonts w:ascii="Bookman Old Style" w:hAnsi="Bookman Old Style"/>
          <w:lang w:val="es-ES"/>
        </w:rPr>
        <w:t>El pasado 7 de octubre, la Mesa Directiva de la Comisión Primera del Senado de la República designó como ponente único mediante el Acta MD-09 al Honorable Senador Alejandro Carlos Chacón Camargo para rendir Informe de Ponencia a primer debate al presente proyecto de Ley. Lo anterior, conforme a lo dispuesto en el artículo 150 de la ley 5a de 1992.</w:t>
      </w:r>
    </w:p>
    <w:p w14:paraId="1B9D341A" w14:textId="77777777" w:rsidR="00C94A51" w:rsidRPr="00CA329C" w:rsidRDefault="00C94A51" w:rsidP="00C94A51">
      <w:pPr>
        <w:jc w:val="both"/>
        <w:rPr>
          <w:rFonts w:ascii="Bookman Old Style" w:hAnsi="Bookman Old Style"/>
          <w:lang w:val="es-ES"/>
        </w:rPr>
      </w:pPr>
    </w:p>
    <w:p w14:paraId="5CE94C21" w14:textId="6A45AB2F" w:rsidR="00C94A51" w:rsidRPr="00CA329C" w:rsidRDefault="008C1CB8" w:rsidP="00C94A51">
      <w:pPr>
        <w:jc w:val="both"/>
        <w:rPr>
          <w:rFonts w:ascii="Bookman Old Style" w:hAnsi="Bookman Old Style"/>
          <w:lang w:val="es-ES"/>
        </w:rPr>
      </w:pPr>
      <w:r w:rsidRPr="00CA329C">
        <w:rPr>
          <w:rFonts w:ascii="Bookman Old Style" w:hAnsi="Bookman Old Style"/>
          <w:lang w:val="es-ES"/>
        </w:rPr>
        <w:t>A</w:t>
      </w:r>
      <w:r w:rsidR="00C94A51" w:rsidRPr="00CA329C">
        <w:rPr>
          <w:rFonts w:ascii="Bookman Old Style" w:hAnsi="Bookman Old Style"/>
          <w:lang w:val="es-ES"/>
        </w:rPr>
        <w:t xml:space="preserve"> dicha comisión se </w:t>
      </w:r>
      <w:r w:rsidRPr="00CA329C">
        <w:rPr>
          <w:rFonts w:ascii="Bookman Old Style" w:hAnsi="Bookman Old Style"/>
          <w:lang w:val="es-ES"/>
        </w:rPr>
        <w:t xml:space="preserve">le </w:t>
      </w:r>
      <w:r w:rsidR="00C94A51" w:rsidRPr="00CA329C">
        <w:rPr>
          <w:rFonts w:ascii="Bookman Old Style" w:hAnsi="Bookman Old Style"/>
          <w:lang w:val="es-ES"/>
        </w:rPr>
        <w:t>rindió el informe de ponencia positivo para primer debate, el</w:t>
      </w:r>
      <w:r w:rsidR="00502AFF" w:rsidRPr="00CA329C">
        <w:rPr>
          <w:rFonts w:ascii="Bookman Old Style" w:hAnsi="Bookman Old Style"/>
          <w:lang w:val="es-ES"/>
        </w:rPr>
        <w:t xml:space="preserve"> cual fue publicado</w:t>
      </w:r>
      <w:r w:rsidR="00C94A51" w:rsidRPr="00CA329C">
        <w:rPr>
          <w:rFonts w:ascii="Bookman Old Style" w:hAnsi="Bookman Old Style"/>
          <w:lang w:val="es-ES"/>
        </w:rPr>
        <w:t xml:space="preserve"> en la Gaceta del Congreso No. 1703 del 10 de octubre de 2024.</w:t>
      </w:r>
    </w:p>
    <w:p w14:paraId="5FC7A6BC" w14:textId="77777777" w:rsidR="00C94A51" w:rsidRPr="00CA329C" w:rsidRDefault="00C94A51" w:rsidP="00C94A51">
      <w:pPr>
        <w:jc w:val="both"/>
        <w:rPr>
          <w:rFonts w:ascii="Bookman Old Style" w:hAnsi="Bookman Old Style"/>
          <w:lang w:val="es-ES"/>
        </w:rPr>
      </w:pPr>
    </w:p>
    <w:p w14:paraId="40DC2F3C" w14:textId="69E30A2B" w:rsidR="000B71BE" w:rsidRPr="00CA329C" w:rsidRDefault="00C94A51" w:rsidP="00C94A51">
      <w:pPr>
        <w:jc w:val="both"/>
        <w:rPr>
          <w:rFonts w:ascii="Bookman Old Style" w:hAnsi="Bookman Old Style"/>
          <w:lang w:val="es-ES"/>
        </w:rPr>
      </w:pPr>
      <w:r w:rsidRPr="00CA329C">
        <w:rPr>
          <w:rFonts w:ascii="Bookman Old Style" w:hAnsi="Bookman Old Style"/>
          <w:lang w:val="es-ES"/>
        </w:rPr>
        <w:t xml:space="preserve">Posteriormente, el 22 de octubre de 2024, se </w:t>
      </w:r>
      <w:r w:rsidR="008C1CB8" w:rsidRPr="00CA329C">
        <w:rPr>
          <w:rFonts w:ascii="Bookman Old Style" w:hAnsi="Bookman Old Style"/>
          <w:lang w:val="es-ES"/>
        </w:rPr>
        <w:t>realizó</w:t>
      </w:r>
      <w:r w:rsidRPr="00CA329C">
        <w:rPr>
          <w:rFonts w:ascii="Bookman Old Style" w:hAnsi="Bookman Old Style"/>
          <w:lang w:val="es-ES"/>
        </w:rPr>
        <w:t xml:space="preserve"> el primer debate al Proyecto de Ley, el cual fue aprobado por unanimidad, conforme consta en el Acta No.19 de 2024.</w:t>
      </w:r>
      <w:r w:rsidR="008C1CB8" w:rsidRPr="00CA329C">
        <w:rPr>
          <w:rFonts w:ascii="Bookman Old Style" w:hAnsi="Bookman Old Style"/>
          <w:lang w:val="es-ES"/>
        </w:rPr>
        <w:t xml:space="preserve"> </w:t>
      </w:r>
      <w:r w:rsidRPr="00CA329C">
        <w:rPr>
          <w:rFonts w:ascii="Bookman Old Style" w:hAnsi="Bookman Old Style"/>
          <w:lang w:val="es-ES"/>
        </w:rPr>
        <w:t xml:space="preserve">Al finalizar el primer debate, la Mesa Directiva de la </w:t>
      </w:r>
      <w:r w:rsidR="008C1CB8" w:rsidRPr="00CA329C">
        <w:rPr>
          <w:rFonts w:ascii="Bookman Old Style" w:hAnsi="Bookman Old Style"/>
          <w:lang w:val="es-ES"/>
        </w:rPr>
        <w:t>Comisión</w:t>
      </w:r>
      <w:r w:rsidRPr="00CA329C">
        <w:rPr>
          <w:rFonts w:ascii="Bookman Old Style" w:hAnsi="Bookman Old Style"/>
          <w:lang w:val="es-ES"/>
        </w:rPr>
        <w:t xml:space="preserve"> Primera del Senado, nuevamente designó como ponente del Proy</w:t>
      </w:r>
      <w:r w:rsidR="008C1CB8" w:rsidRPr="00CA329C">
        <w:rPr>
          <w:rFonts w:ascii="Bookman Old Style" w:hAnsi="Bookman Old Style"/>
          <w:lang w:val="es-ES"/>
        </w:rPr>
        <w:t>ecto de Ley para segundo debate al Honorable Senador Alejandro Carlos Chacón Camargo.</w:t>
      </w:r>
    </w:p>
    <w:p w14:paraId="54A97155" w14:textId="77777777" w:rsidR="008C1CB8" w:rsidRPr="00CA329C" w:rsidRDefault="008C1CB8" w:rsidP="00C94A51">
      <w:pPr>
        <w:jc w:val="both"/>
        <w:rPr>
          <w:rFonts w:ascii="Bookman Old Style" w:hAnsi="Bookman Old Style"/>
          <w:lang w:val="es-ES"/>
        </w:rPr>
      </w:pPr>
    </w:p>
    <w:p w14:paraId="2234043D" w14:textId="78E4B300" w:rsidR="008C1CB8" w:rsidRPr="00CA329C" w:rsidRDefault="00880F19" w:rsidP="00C94A51">
      <w:pPr>
        <w:jc w:val="both"/>
        <w:rPr>
          <w:rFonts w:ascii="Bookman Old Style" w:hAnsi="Bookman Old Style"/>
          <w:lang w:val="es-ES"/>
        </w:rPr>
      </w:pPr>
      <w:r w:rsidRPr="00CA329C">
        <w:rPr>
          <w:rFonts w:ascii="Bookman Old Style" w:hAnsi="Bookman Old Style"/>
          <w:lang w:val="es-ES"/>
        </w:rPr>
        <w:t xml:space="preserve">La ponencia para el Segundo Debate en Plenaria del Senado de la República se rindió el día 27 de octubre, el cual se publicó en Gaceta del Congreso No. </w:t>
      </w:r>
      <w:r w:rsidR="00D0100A" w:rsidRPr="00CA329C">
        <w:rPr>
          <w:rFonts w:ascii="Bookman Old Style" w:hAnsi="Bookman Old Style"/>
          <w:lang w:val="es-ES"/>
        </w:rPr>
        <w:t>1817</w:t>
      </w:r>
      <w:r w:rsidRPr="00CA329C">
        <w:rPr>
          <w:rFonts w:ascii="Bookman Old Style" w:hAnsi="Bookman Old Style"/>
          <w:lang w:val="es-ES"/>
        </w:rPr>
        <w:t xml:space="preserve"> del </w:t>
      </w:r>
      <w:r w:rsidR="00D0100A" w:rsidRPr="00CA329C">
        <w:rPr>
          <w:rFonts w:ascii="Bookman Old Style" w:hAnsi="Bookman Old Style"/>
          <w:lang w:val="es-ES"/>
        </w:rPr>
        <w:t>29</w:t>
      </w:r>
      <w:r w:rsidRPr="00CA329C">
        <w:rPr>
          <w:rFonts w:ascii="Bookman Old Style" w:hAnsi="Bookman Old Style"/>
          <w:lang w:val="es-ES"/>
        </w:rPr>
        <w:t xml:space="preserve"> de octubre de 2024.</w:t>
      </w:r>
    </w:p>
    <w:p w14:paraId="6AF96671" w14:textId="77777777" w:rsidR="00880F19" w:rsidRPr="00CA329C" w:rsidRDefault="00880F19" w:rsidP="00C94A51">
      <w:pPr>
        <w:jc w:val="both"/>
        <w:rPr>
          <w:rFonts w:ascii="Bookman Old Style" w:hAnsi="Bookman Old Style"/>
          <w:lang w:val="es-ES"/>
        </w:rPr>
      </w:pPr>
    </w:p>
    <w:p w14:paraId="7CDBDFF4" w14:textId="0CF37D7F" w:rsidR="00880F19" w:rsidRPr="00CA329C" w:rsidRDefault="00880F19" w:rsidP="00C94A51">
      <w:pPr>
        <w:jc w:val="both"/>
        <w:rPr>
          <w:rFonts w:ascii="Bookman Old Style" w:hAnsi="Bookman Old Style"/>
          <w:lang w:val="es-ES"/>
        </w:rPr>
      </w:pPr>
      <w:r w:rsidRPr="00CA329C">
        <w:rPr>
          <w:rFonts w:ascii="Bookman Old Style" w:hAnsi="Bookman Old Style"/>
          <w:lang w:val="es-ES"/>
        </w:rPr>
        <w:t>El pasado 5 de noviembre, en sesión Plenaria del Senado</w:t>
      </w:r>
      <w:r w:rsidR="009A490B" w:rsidRPr="00CA329C">
        <w:rPr>
          <w:rFonts w:ascii="Bookman Old Style" w:hAnsi="Bookman Old Style"/>
          <w:lang w:val="es-ES"/>
        </w:rPr>
        <w:t xml:space="preserve"> de la República</w:t>
      </w:r>
      <w:r w:rsidRPr="00CA329C">
        <w:rPr>
          <w:rFonts w:ascii="Bookman Old Style" w:hAnsi="Bookman Old Style"/>
          <w:lang w:val="es-ES"/>
        </w:rPr>
        <w:t>, se realizó la discusión y votación de la iniciativa, la cual fue aprobada por unanimidad por los presentes en la sesión</w:t>
      </w:r>
      <w:r w:rsidR="009710AC" w:rsidRPr="00CA329C">
        <w:rPr>
          <w:rFonts w:ascii="Bookman Old Style" w:hAnsi="Bookman Old Style"/>
          <w:lang w:val="es-ES"/>
        </w:rPr>
        <w:t>. El texto definitivo aprobado se publicó en la Gaceta No. 1990 del 19 de noviembre de 2024.</w:t>
      </w:r>
    </w:p>
    <w:p w14:paraId="31751118" w14:textId="77777777" w:rsidR="009710AC" w:rsidRPr="00CA329C" w:rsidRDefault="009710AC" w:rsidP="00C94A51">
      <w:pPr>
        <w:jc w:val="both"/>
        <w:rPr>
          <w:rFonts w:ascii="Bookman Old Style" w:hAnsi="Bookman Old Style"/>
          <w:lang w:val="es-ES"/>
        </w:rPr>
      </w:pPr>
    </w:p>
    <w:p w14:paraId="51261224" w14:textId="6C95200E" w:rsidR="009710AC" w:rsidRPr="00CA329C" w:rsidRDefault="009710AC" w:rsidP="00C94A51">
      <w:pPr>
        <w:jc w:val="both"/>
        <w:rPr>
          <w:rFonts w:ascii="Bookman Old Style" w:hAnsi="Bookman Old Style"/>
          <w:lang w:val="es-ES"/>
        </w:rPr>
      </w:pPr>
      <w:r w:rsidRPr="00CA329C">
        <w:rPr>
          <w:rFonts w:ascii="Bookman Old Style" w:hAnsi="Bookman Old Style"/>
          <w:lang w:val="es-ES"/>
        </w:rPr>
        <w:t xml:space="preserve">En este sentido, el pasado 19 de noviembre, la Honorable Mesa Directiva de la Comisión Primera de la Cámara de Representantes, me designó como ponente único de la iniciativa, mediante el Acta </w:t>
      </w:r>
      <w:r w:rsidR="00887070">
        <w:rPr>
          <w:rFonts w:ascii="Bookman Old Style" w:hAnsi="Bookman Old Style"/>
          <w:lang w:val="es-ES"/>
        </w:rPr>
        <w:t>018 de 2024.</w:t>
      </w:r>
    </w:p>
    <w:p w14:paraId="429F8855" w14:textId="2236F77A" w:rsidR="00343A05" w:rsidRPr="00CA329C" w:rsidRDefault="00343A05" w:rsidP="00343A05">
      <w:pPr>
        <w:rPr>
          <w:rFonts w:ascii="Bookman Old Style" w:hAnsi="Bookman Old Style"/>
          <w:b/>
          <w:bCs/>
        </w:rPr>
      </w:pPr>
    </w:p>
    <w:bookmarkEnd w:id="2"/>
    <w:p w14:paraId="2140B794" w14:textId="5905D645" w:rsidR="00363DC4" w:rsidRPr="00CA329C" w:rsidRDefault="00343A05" w:rsidP="00343A05">
      <w:pPr>
        <w:rPr>
          <w:rFonts w:ascii="Bookman Old Style" w:hAnsi="Bookman Old Style"/>
          <w:b/>
          <w:bCs/>
        </w:rPr>
      </w:pPr>
      <w:r w:rsidRPr="00CA329C">
        <w:rPr>
          <w:rFonts w:ascii="Bookman Old Style" w:hAnsi="Bookman Old Style"/>
          <w:b/>
          <w:bCs/>
        </w:rPr>
        <w:lastRenderedPageBreak/>
        <w:t>2. Objeto del Proyecto</w:t>
      </w:r>
    </w:p>
    <w:p w14:paraId="4ACF64DC" w14:textId="77777777" w:rsidR="00363DC4" w:rsidRPr="00CA329C" w:rsidRDefault="00363DC4" w:rsidP="00363DC4">
      <w:pPr>
        <w:pStyle w:val="Prrafodelista"/>
        <w:rPr>
          <w:rFonts w:ascii="Bookman Old Style" w:hAnsi="Bookman Old Style"/>
          <w:b/>
          <w:bCs/>
        </w:rPr>
      </w:pPr>
    </w:p>
    <w:p w14:paraId="115D1953" w14:textId="63CCDA5B" w:rsidR="00815EDA" w:rsidRPr="00CA329C" w:rsidRDefault="00363DC4" w:rsidP="00363DC4">
      <w:pPr>
        <w:jc w:val="both"/>
        <w:rPr>
          <w:rFonts w:ascii="Bookman Old Style" w:hAnsi="Bookman Old Style"/>
          <w:lang w:val="es-ES"/>
        </w:rPr>
      </w:pPr>
      <w:r w:rsidRPr="00CA329C">
        <w:rPr>
          <w:rFonts w:ascii="Bookman Old Style" w:hAnsi="Bookman Old Style"/>
          <w:lang w:val="es-ES"/>
        </w:rPr>
        <w:t xml:space="preserve">El presente proyecto tiene por objeto </w:t>
      </w:r>
      <w:r w:rsidR="00B9378B" w:rsidRPr="00CA329C">
        <w:rPr>
          <w:rFonts w:ascii="Bookman Old Style" w:hAnsi="Bookman Old Style"/>
          <w:lang w:val="es-ES"/>
        </w:rPr>
        <w:t>dar</w:t>
      </w:r>
      <w:r w:rsidRPr="00CA329C">
        <w:rPr>
          <w:rFonts w:ascii="Bookman Old Style" w:hAnsi="Bookman Old Style"/>
          <w:lang w:val="es-ES"/>
        </w:rPr>
        <w:t xml:space="preserve"> continuidad </w:t>
      </w:r>
      <w:r w:rsidR="00B9378B" w:rsidRPr="00CA329C">
        <w:rPr>
          <w:rFonts w:ascii="Bookman Old Style" w:hAnsi="Bookman Old Style"/>
          <w:lang w:val="es-ES"/>
        </w:rPr>
        <w:t>a</w:t>
      </w:r>
      <w:r w:rsidRPr="00CA329C">
        <w:rPr>
          <w:rFonts w:ascii="Bookman Old Style" w:hAnsi="Bookman Old Style"/>
          <w:lang w:val="es-ES"/>
        </w:rPr>
        <w:t xml:space="preserve"> la función pública de control fiscal para la vigilancia y control del Sistema General de Regalías</w:t>
      </w:r>
      <w:r w:rsidR="00B9378B" w:rsidRPr="00CA329C">
        <w:rPr>
          <w:rFonts w:ascii="Bookman Old Style" w:hAnsi="Bookman Old Style"/>
          <w:lang w:val="es-ES"/>
        </w:rPr>
        <w:t>, por parte de la Contraloría General de la República</w:t>
      </w:r>
      <w:r w:rsidR="006F3203" w:rsidRPr="00CA329C">
        <w:rPr>
          <w:rFonts w:ascii="Bookman Old Style" w:hAnsi="Bookman Old Style"/>
          <w:lang w:val="es-ES"/>
        </w:rPr>
        <w:t xml:space="preserve">. Así, el presente documento sustentará de manera sistemática la necesidad de mantener en el ordenamiento jurídico </w:t>
      </w:r>
      <w:r w:rsidR="001E6697" w:rsidRPr="00CA329C">
        <w:rPr>
          <w:rFonts w:ascii="Bookman Old Style" w:hAnsi="Bookman Old Style"/>
          <w:lang w:val="es-ES"/>
        </w:rPr>
        <w:t>una disposición que sustente la existencia de un personal en esta entidad de control dedicado de forma exclusiva a vigilar la gestión de los recursos derivados de la explotación de recursos naturales que generan a favor del Estado Colombiano una contraprestación económica a título de regalía.</w:t>
      </w:r>
    </w:p>
    <w:p w14:paraId="3BA150FB" w14:textId="77777777" w:rsidR="00815EDA" w:rsidRPr="00CA329C" w:rsidRDefault="00815EDA" w:rsidP="00363DC4">
      <w:pPr>
        <w:jc w:val="both"/>
        <w:rPr>
          <w:rFonts w:ascii="Bookman Old Style" w:hAnsi="Bookman Old Style"/>
          <w:lang w:val="es-ES"/>
        </w:rPr>
      </w:pPr>
    </w:p>
    <w:p w14:paraId="36AC8021" w14:textId="5AA5EE90" w:rsidR="00363DC4" w:rsidRPr="00CA329C" w:rsidRDefault="00612609" w:rsidP="00363DC4">
      <w:pPr>
        <w:jc w:val="both"/>
        <w:rPr>
          <w:rFonts w:ascii="Bookman Old Style" w:hAnsi="Bookman Old Style"/>
          <w:lang w:val="es-ES"/>
        </w:rPr>
      </w:pPr>
      <w:r w:rsidRPr="00CA329C">
        <w:rPr>
          <w:rFonts w:ascii="Bookman Old Style" w:hAnsi="Bookman Old Style"/>
          <w:lang w:val="es-ES"/>
        </w:rPr>
        <w:t>Para ello, se iniciará con un recuento normativo enfocado a explicar las competencias de la Contraloría General de la República respecto del Sistema General de Regalías desde su creación m</w:t>
      </w:r>
      <w:r w:rsidR="00363DC4" w:rsidRPr="00CA329C">
        <w:rPr>
          <w:rFonts w:ascii="Bookman Old Style" w:hAnsi="Bookman Old Style"/>
          <w:lang w:val="es-ES"/>
        </w:rPr>
        <w:t xml:space="preserve">ediante el Acto Legislativo 5 de 2011 </w:t>
      </w:r>
      <w:r w:rsidRPr="00CA329C">
        <w:rPr>
          <w:rFonts w:ascii="Bookman Old Style" w:hAnsi="Bookman Old Style"/>
          <w:lang w:val="es-ES"/>
        </w:rPr>
        <w:t xml:space="preserve">que </w:t>
      </w:r>
      <w:r w:rsidR="00363DC4" w:rsidRPr="00CA329C">
        <w:rPr>
          <w:rFonts w:ascii="Bookman Old Style" w:hAnsi="Bookman Old Style"/>
          <w:lang w:val="es-ES"/>
        </w:rPr>
        <w:t>le asignó la competencia de control, técnica y especializada</w:t>
      </w:r>
      <w:r w:rsidR="008A7742" w:rsidRPr="00CA329C">
        <w:rPr>
          <w:rFonts w:ascii="Bookman Old Style" w:hAnsi="Bookman Old Style"/>
          <w:lang w:val="es-ES"/>
        </w:rPr>
        <w:t xml:space="preserve">. En esta sección se abordará toda la normatividad y jurisprudencia relacionada que decantó o modificó las competencias del ente de control. </w:t>
      </w:r>
    </w:p>
    <w:p w14:paraId="12BC4EC1" w14:textId="77777777" w:rsidR="00363DC4" w:rsidRPr="00CA329C" w:rsidRDefault="00363DC4" w:rsidP="00363DC4">
      <w:pPr>
        <w:jc w:val="both"/>
        <w:rPr>
          <w:rFonts w:ascii="Bookman Old Style" w:hAnsi="Bookman Old Style"/>
          <w:lang w:val="es-ES"/>
        </w:rPr>
      </w:pPr>
    </w:p>
    <w:p w14:paraId="5D25F0A4" w14:textId="66FD5B5B" w:rsidR="00A159F1" w:rsidRPr="00CA329C" w:rsidRDefault="00A159F1" w:rsidP="00363DC4">
      <w:pPr>
        <w:jc w:val="both"/>
        <w:rPr>
          <w:rFonts w:ascii="Bookman Old Style" w:hAnsi="Bookman Old Style"/>
          <w:lang w:val="es-ES"/>
        </w:rPr>
      </w:pPr>
      <w:r w:rsidRPr="00CA329C">
        <w:rPr>
          <w:rFonts w:ascii="Bookman Old Style" w:hAnsi="Bookman Old Style"/>
          <w:lang w:val="es-ES"/>
        </w:rPr>
        <w:t xml:space="preserve">En una segunda sección se </w:t>
      </w:r>
      <w:r w:rsidR="00DB58C9" w:rsidRPr="00CA329C">
        <w:rPr>
          <w:rFonts w:ascii="Bookman Old Style" w:hAnsi="Bookman Old Style"/>
          <w:lang w:val="es-ES"/>
        </w:rPr>
        <w:t>justificará la necesidad de establecer la continuidad de la planta temporal para el bienio 2025-2026, en consideración de las facultades constitucionales y legales que así se confieren</w:t>
      </w:r>
      <w:r w:rsidRPr="00CA329C">
        <w:rPr>
          <w:rFonts w:ascii="Bookman Old Style" w:hAnsi="Bookman Old Style"/>
          <w:lang w:val="es-ES"/>
        </w:rPr>
        <w:t xml:space="preserve">. Así mismo se presentará un informe de la gestión de la Contraloría General en el bienio 2023-2024 en su labor de fiscalizador del Sistema General de Regalías en el marco de la Ley 2278 de 2022. </w:t>
      </w:r>
    </w:p>
    <w:p w14:paraId="138DBC11" w14:textId="77777777" w:rsidR="00A159F1" w:rsidRPr="00CA329C" w:rsidRDefault="00A159F1" w:rsidP="00363DC4">
      <w:pPr>
        <w:jc w:val="both"/>
        <w:rPr>
          <w:rFonts w:ascii="Bookman Old Style" w:hAnsi="Bookman Old Style"/>
          <w:lang w:val="es-ES"/>
        </w:rPr>
      </w:pPr>
    </w:p>
    <w:p w14:paraId="3F748EA6" w14:textId="77777777" w:rsidR="00A159F1" w:rsidRPr="00CA329C" w:rsidRDefault="00A159F1" w:rsidP="00363DC4">
      <w:pPr>
        <w:jc w:val="both"/>
        <w:rPr>
          <w:rFonts w:ascii="Bookman Old Style" w:hAnsi="Bookman Old Style"/>
          <w:lang w:val="es-ES"/>
        </w:rPr>
      </w:pPr>
      <w:r w:rsidRPr="00CA329C">
        <w:rPr>
          <w:rFonts w:ascii="Bookman Old Style" w:hAnsi="Bookman Old Style"/>
          <w:lang w:val="es-ES"/>
        </w:rPr>
        <w:t xml:space="preserve">Finalmente, se realizará un análisis del impacto fiscal y conflicto de interés que pueda tener este proyecto como futura ley de la República de acuerdo a los mandatos de las Leyes orgánicas 819 de 2003 y 2003 de 2019 que exigen esta formalidad. </w:t>
      </w:r>
    </w:p>
    <w:p w14:paraId="7591522A" w14:textId="77777777" w:rsidR="00A159F1" w:rsidRPr="00CA329C" w:rsidRDefault="00A159F1" w:rsidP="00363DC4">
      <w:pPr>
        <w:jc w:val="both"/>
        <w:rPr>
          <w:rFonts w:ascii="Bookman Old Style" w:hAnsi="Bookman Old Style"/>
          <w:lang w:val="es-ES"/>
        </w:rPr>
      </w:pPr>
    </w:p>
    <w:p w14:paraId="630A099F" w14:textId="0387BD02" w:rsidR="00363DC4" w:rsidRPr="00CA329C" w:rsidRDefault="00363DC4" w:rsidP="00363DC4">
      <w:pPr>
        <w:jc w:val="both"/>
        <w:rPr>
          <w:rFonts w:ascii="Bookman Old Style" w:hAnsi="Bookman Old Style"/>
          <w:lang w:val="es-ES"/>
        </w:rPr>
      </w:pPr>
      <w:r w:rsidRPr="00CA329C">
        <w:rPr>
          <w:rFonts w:ascii="Bookman Old Style" w:hAnsi="Bookman Old Style"/>
          <w:lang w:val="es-ES"/>
        </w:rPr>
        <w:t>En términos generales</w:t>
      </w:r>
      <w:r w:rsidR="00DB58C9" w:rsidRPr="00CA329C">
        <w:rPr>
          <w:rFonts w:ascii="Bookman Old Style" w:hAnsi="Bookman Old Style"/>
          <w:lang w:val="es-ES"/>
        </w:rPr>
        <w:t xml:space="preserve">, el proyecto de ley </w:t>
      </w:r>
      <w:r w:rsidRPr="00CA329C">
        <w:rPr>
          <w:rFonts w:ascii="Bookman Old Style" w:hAnsi="Bookman Old Style"/>
          <w:lang w:val="es-ES"/>
        </w:rPr>
        <w:t xml:space="preserve">contiene tres artículos que puntualizan su alcance y demarcan de forma clara su naturaleza. </w:t>
      </w:r>
      <w:r w:rsidRPr="00CA329C">
        <w:rPr>
          <w:rFonts w:ascii="Bookman Old Style" w:hAnsi="Bookman Old Style"/>
          <w:i/>
          <w:iCs/>
          <w:lang w:val="es-ES"/>
        </w:rPr>
        <w:t>En primer lugar</w:t>
      </w:r>
      <w:r w:rsidRPr="00CA329C">
        <w:rPr>
          <w:rFonts w:ascii="Bookman Old Style" w:hAnsi="Bookman Old Style"/>
          <w:lang w:val="es-ES"/>
        </w:rPr>
        <w:t>, define su objeto, que como se indicó pretende garantizar la continuidad de la función pública de control fiscal</w:t>
      </w:r>
      <w:r w:rsidR="00DB58C9" w:rsidRPr="00CA329C">
        <w:rPr>
          <w:rFonts w:ascii="Bookman Old Style" w:hAnsi="Bookman Old Style"/>
          <w:lang w:val="es-ES"/>
        </w:rPr>
        <w:t>.</w:t>
      </w:r>
      <w:r w:rsidRPr="00CA329C">
        <w:rPr>
          <w:rFonts w:ascii="Bookman Old Style" w:hAnsi="Bookman Old Style"/>
          <w:lang w:val="es-ES"/>
        </w:rPr>
        <w:t xml:space="preserve"> </w:t>
      </w:r>
      <w:r w:rsidR="00DB58C9" w:rsidRPr="00CA329C">
        <w:rPr>
          <w:rFonts w:ascii="Bookman Old Style" w:hAnsi="Bookman Old Style"/>
          <w:i/>
          <w:iCs/>
          <w:lang w:val="es-ES"/>
        </w:rPr>
        <w:t>E</w:t>
      </w:r>
      <w:r w:rsidRPr="00CA329C">
        <w:rPr>
          <w:rFonts w:ascii="Bookman Old Style" w:hAnsi="Bookman Old Style"/>
          <w:i/>
          <w:iCs/>
          <w:lang w:val="es-ES"/>
        </w:rPr>
        <w:t xml:space="preserve">n segundo </w:t>
      </w:r>
      <w:r w:rsidR="005C7375" w:rsidRPr="00CA329C">
        <w:rPr>
          <w:rFonts w:ascii="Bookman Old Style" w:hAnsi="Bookman Old Style"/>
          <w:i/>
          <w:iCs/>
          <w:lang w:val="es-ES"/>
        </w:rPr>
        <w:t>término,</w:t>
      </w:r>
      <w:r w:rsidRPr="00CA329C">
        <w:rPr>
          <w:rFonts w:ascii="Bookman Old Style" w:hAnsi="Bookman Old Style"/>
          <w:lang w:val="es-ES"/>
        </w:rPr>
        <w:t xml:space="preserve"> se </w:t>
      </w:r>
      <w:r w:rsidR="00DB58C9" w:rsidRPr="00CA329C">
        <w:rPr>
          <w:rFonts w:ascii="Bookman Old Style" w:hAnsi="Bookman Old Style"/>
          <w:lang w:val="es-ES"/>
        </w:rPr>
        <w:t>prorroga la planta definida mediante el Decreto Ley 2651 de 2022, hasta el 31 de diciembre de 2026, para asegurar la continuidad del control y vigilancia fiscal del Sistema General de Regalías, para el bienio 2025-2026</w:t>
      </w:r>
      <w:r w:rsidR="00C850EC" w:rsidRPr="00CA329C">
        <w:rPr>
          <w:rFonts w:ascii="Bookman Old Style" w:hAnsi="Bookman Old Style"/>
          <w:lang w:val="es-ES"/>
        </w:rPr>
        <w:t xml:space="preserve">. </w:t>
      </w:r>
      <w:r w:rsidR="00DB58C9" w:rsidRPr="00CA329C">
        <w:rPr>
          <w:rFonts w:ascii="Bookman Old Style" w:hAnsi="Bookman Old Style"/>
          <w:i/>
          <w:iCs/>
          <w:lang w:val="es-ES"/>
        </w:rPr>
        <w:t>P</w:t>
      </w:r>
      <w:r w:rsidRPr="00CA329C">
        <w:rPr>
          <w:rFonts w:ascii="Bookman Old Style" w:hAnsi="Bookman Old Style"/>
          <w:i/>
          <w:iCs/>
          <w:lang w:val="es-ES"/>
        </w:rPr>
        <w:t>or último</w:t>
      </w:r>
      <w:r w:rsidR="00DB58C9" w:rsidRPr="00CA329C">
        <w:rPr>
          <w:rFonts w:ascii="Bookman Old Style" w:hAnsi="Bookman Old Style"/>
          <w:i/>
          <w:iCs/>
          <w:lang w:val="es-ES"/>
        </w:rPr>
        <w:t xml:space="preserve">, </w:t>
      </w:r>
      <w:r w:rsidR="00DB58C9" w:rsidRPr="00CA329C">
        <w:rPr>
          <w:rFonts w:ascii="Bookman Old Style" w:hAnsi="Bookman Old Style"/>
          <w:lang w:val="es-ES"/>
        </w:rPr>
        <w:t>se</w:t>
      </w:r>
      <w:r w:rsidRPr="00CA329C">
        <w:rPr>
          <w:rFonts w:ascii="Bookman Old Style" w:hAnsi="Bookman Old Style"/>
          <w:lang w:val="es-ES"/>
        </w:rPr>
        <w:t xml:space="preserve"> determina la vigencia de la ley, </w:t>
      </w:r>
      <w:r w:rsidR="00DB58C9" w:rsidRPr="00CA329C">
        <w:rPr>
          <w:rFonts w:ascii="Bookman Old Style" w:hAnsi="Bookman Old Style"/>
          <w:lang w:val="es-ES"/>
        </w:rPr>
        <w:t xml:space="preserve">entrando en vigencia una vez sea sancionada por el </w:t>
      </w:r>
      <w:proofErr w:type="gramStart"/>
      <w:r w:rsidR="00DB58C9" w:rsidRPr="00CA329C">
        <w:rPr>
          <w:rFonts w:ascii="Bookman Old Style" w:hAnsi="Bookman Old Style"/>
          <w:lang w:val="es-ES"/>
        </w:rPr>
        <w:t>Presidente</w:t>
      </w:r>
      <w:proofErr w:type="gramEnd"/>
      <w:r w:rsidR="00DB58C9" w:rsidRPr="00CA329C">
        <w:rPr>
          <w:rFonts w:ascii="Bookman Old Style" w:hAnsi="Bookman Old Style"/>
          <w:lang w:val="es-ES"/>
        </w:rPr>
        <w:t xml:space="preserve"> de la República.</w:t>
      </w:r>
      <w:r w:rsidR="00147247" w:rsidRPr="00CA329C">
        <w:rPr>
          <w:rFonts w:ascii="Bookman Old Style" w:hAnsi="Bookman Old Style"/>
          <w:lang w:val="es-ES"/>
        </w:rPr>
        <w:t xml:space="preserve"> </w:t>
      </w:r>
    </w:p>
    <w:p w14:paraId="4392C0C2" w14:textId="28BD52DC" w:rsidR="00363DC4" w:rsidRDefault="00363DC4" w:rsidP="00363DC4">
      <w:pPr>
        <w:jc w:val="both"/>
        <w:rPr>
          <w:rFonts w:ascii="Bookman Old Style" w:hAnsi="Bookman Old Style"/>
        </w:rPr>
      </w:pPr>
    </w:p>
    <w:p w14:paraId="02207840" w14:textId="77777777" w:rsidR="00962176" w:rsidRPr="00CA329C" w:rsidRDefault="00962176" w:rsidP="00363DC4">
      <w:pPr>
        <w:jc w:val="both"/>
        <w:rPr>
          <w:rFonts w:ascii="Bookman Old Style" w:hAnsi="Bookman Old Style"/>
        </w:rPr>
      </w:pPr>
    </w:p>
    <w:p w14:paraId="6FF9B1EF" w14:textId="6CD043E0" w:rsidR="00363DC4" w:rsidRPr="00CA329C" w:rsidRDefault="00782CA3" w:rsidP="00343A05">
      <w:pPr>
        <w:rPr>
          <w:rFonts w:ascii="Bookman Old Style" w:hAnsi="Bookman Old Style"/>
          <w:b/>
          <w:bCs/>
        </w:rPr>
      </w:pPr>
      <w:bookmarkStart w:id="3" w:name="_Toc175635381"/>
      <w:r>
        <w:rPr>
          <w:rFonts w:ascii="Bookman Old Style" w:hAnsi="Bookman Old Style"/>
          <w:b/>
          <w:bCs/>
        </w:rPr>
        <w:lastRenderedPageBreak/>
        <w:t>3</w:t>
      </w:r>
      <w:r w:rsidR="00343A05" w:rsidRPr="00CA329C">
        <w:rPr>
          <w:rFonts w:ascii="Bookman Old Style" w:hAnsi="Bookman Old Style"/>
          <w:b/>
          <w:bCs/>
        </w:rPr>
        <w:t>.</w:t>
      </w:r>
      <w:r w:rsidR="00F14A56" w:rsidRPr="00CA329C">
        <w:rPr>
          <w:rFonts w:ascii="Bookman Old Style" w:hAnsi="Bookman Old Style"/>
          <w:b/>
          <w:bCs/>
        </w:rPr>
        <w:t xml:space="preserve"> Marco Constitucional, Normativo y Jurisprudencial de La CGR en el del Sistema General de Regalías.</w:t>
      </w:r>
      <w:bookmarkEnd w:id="3"/>
      <w:r w:rsidR="00F14A56" w:rsidRPr="00CA329C">
        <w:rPr>
          <w:rFonts w:ascii="Bookman Old Style" w:hAnsi="Bookman Old Style"/>
          <w:b/>
          <w:bCs/>
        </w:rPr>
        <w:t xml:space="preserve">  </w:t>
      </w:r>
    </w:p>
    <w:p w14:paraId="592C0766" w14:textId="77777777" w:rsidR="00363DC4" w:rsidRPr="00CA329C" w:rsidRDefault="00363DC4" w:rsidP="00363DC4">
      <w:pPr>
        <w:rPr>
          <w:rFonts w:ascii="Bookman Old Style" w:hAnsi="Bookman Old Style"/>
          <w:lang w:val="es-ES"/>
        </w:rPr>
      </w:pPr>
    </w:p>
    <w:p w14:paraId="0924AB5A" w14:textId="4DB1CA64"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Al respecto de las funciones y plantas de personal de la CGR, en el marco del Sistema General de Regalías, en el presente acápite se presentará un recuento normativo y jurisprudencial que contextualice las competencias que la Constitución y la Ley </w:t>
      </w:r>
      <w:r w:rsidR="00B41A56" w:rsidRPr="00CA329C">
        <w:rPr>
          <w:rFonts w:ascii="Bookman Old Style" w:hAnsi="Bookman Old Style"/>
          <w:lang w:val="es-ES"/>
        </w:rPr>
        <w:t xml:space="preserve">le </w:t>
      </w:r>
      <w:r w:rsidRPr="00CA329C">
        <w:rPr>
          <w:rFonts w:ascii="Bookman Old Style" w:hAnsi="Bookman Old Style"/>
          <w:lang w:val="es-ES"/>
        </w:rPr>
        <w:t>ha</w:t>
      </w:r>
      <w:r w:rsidR="00B41A56" w:rsidRPr="00CA329C">
        <w:rPr>
          <w:rFonts w:ascii="Bookman Old Style" w:hAnsi="Bookman Old Style"/>
          <w:lang w:val="es-ES"/>
        </w:rPr>
        <w:t>n</w:t>
      </w:r>
      <w:r w:rsidRPr="00CA329C">
        <w:rPr>
          <w:rFonts w:ascii="Bookman Old Style" w:hAnsi="Bookman Old Style"/>
          <w:lang w:val="es-ES"/>
        </w:rPr>
        <w:t xml:space="preserve"> asignado a la entidad de control desde el surgimiento del referido Sistema en 2011. </w:t>
      </w:r>
    </w:p>
    <w:p w14:paraId="5ECE4042" w14:textId="77777777" w:rsidR="00363DC4" w:rsidRPr="00CA329C" w:rsidRDefault="00363DC4" w:rsidP="00363DC4">
      <w:pPr>
        <w:jc w:val="both"/>
        <w:rPr>
          <w:rFonts w:ascii="Bookman Old Style" w:hAnsi="Bookman Old Style"/>
          <w:lang w:val="es-ES"/>
        </w:rPr>
      </w:pPr>
    </w:p>
    <w:p w14:paraId="29841665" w14:textId="77777777" w:rsidR="00363DC4" w:rsidRPr="00CA329C" w:rsidRDefault="00363DC4" w:rsidP="00962176">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Acto Legislativo 05 de 2011.</w:t>
      </w:r>
      <w:r w:rsidRPr="00CA329C">
        <w:rPr>
          <w:rFonts w:ascii="Bookman Old Style" w:hAnsi="Bookman Old Style"/>
          <w:lang w:val="es-ES"/>
        </w:rPr>
        <w:t xml:space="preserve"> Por el cual se constituye el Sistema General de Regalías, se modifican los artículos 360 y 361 de la Constitución Política y se dictan otras disposiciones sobre el régimen de regalías y compensaciones.</w:t>
      </w:r>
    </w:p>
    <w:p w14:paraId="4B5BE22E" w14:textId="77777777" w:rsidR="00363DC4" w:rsidRPr="00CA329C" w:rsidRDefault="00363DC4" w:rsidP="00363DC4">
      <w:pPr>
        <w:jc w:val="both"/>
        <w:rPr>
          <w:rFonts w:ascii="Bookman Old Style" w:hAnsi="Bookman Old Style"/>
          <w:lang w:val="es-ES"/>
        </w:rPr>
      </w:pPr>
    </w:p>
    <w:p w14:paraId="1F00CF1D"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El inciso 5 del Artículo 2° estableció que el 2% de los recursos del SGR de destinarían a la fiscalización del sistema, financiando el Sistema de Monitoreo, Control y Evaluación. </w:t>
      </w:r>
    </w:p>
    <w:p w14:paraId="7D163B30" w14:textId="77777777" w:rsidR="00363DC4" w:rsidRPr="00CA329C" w:rsidRDefault="00363DC4" w:rsidP="00363DC4">
      <w:pPr>
        <w:jc w:val="both"/>
        <w:rPr>
          <w:rFonts w:ascii="Bookman Old Style" w:hAnsi="Bookman Old Style"/>
          <w:lang w:val="es-ES"/>
        </w:rPr>
      </w:pPr>
    </w:p>
    <w:p w14:paraId="130724E2" w14:textId="31FE885A" w:rsidR="00363DC4" w:rsidRPr="00CA329C" w:rsidRDefault="00363DC4" w:rsidP="002434AE">
      <w:pPr>
        <w:jc w:val="both"/>
        <w:rPr>
          <w:rFonts w:ascii="Bookman Old Style" w:hAnsi="Bookman Old Style"/>
          <w:lang w:val="es-ES"/>
        </w:rPr>
      </w:pPr>
      <w:r w:rsidRPr="00CA329C">
        <w:rPr>
          <w:rFonts w:ascii="Bookman Old Style" w:hAnsi="Bookman Old Style"/>
          <w:lang w:val="es-ES"/>
        </w:rPr>
        <w:t xml:space="preserve">De igual forma los parágrafos transitorios 5 y 6 del artículo 2 del citado Acto Legislativo </w:t>
      </w:r>
      <w:r w:rsidR="005F7189" w:rsidRPr="00CA329C">
        <w:rPr>
          <w:rFonts w:ascii="Bookman Old Style" w:hAnsi="Bookman Old Style"/>
          <w:lang w:val="es-ES"/>
        </w:rPr>
        <w:t xml:space="preserve">otorgaron </w:t>
      </w:r>
      <w:r w:rsidRPr="00CA329C">
        <w:rPr>
          <w:rFonts w:ascii="Bookman Old Style" w:hAnsi="Bookman Old Style"/>
          <w:lang w:val="es-ES"/>
        </w:rPr>
        <w:t xml:space="preserve">al </w:t>
      </w:r>
      <w:proofErr w:type="gramStart"/>
      <w:r w:rsidR="00147247" w:rsidRPr="00CA329C">
        <w:rPr>
          <w:rFonts w:ascii="Bookman Old Style" w:hAnsi="Bookman Old Style"/>
          <w:lang w:val="es-ES"/>
        </w:rPr>
        <w:t>Presidente</w:t>
      </w:r>
      <w:proofErr w:type="gramEnd"/>
      <w:r w:rsidR="00147247" w:rsidRPr="00CA329C">
        <w:rPr>
          <w:rFonts w:ascii="Bookman Old Style" w:hAnsi="Bookman Old Style"/>
          <w:lang w:val="es-ES"/>
        </w:rPr>
        <w:t xml:space="preserve"> de la </w:t>
      </w:r>
      <w:r w:rsidR="00A52D42" w:rsidRPr="00CA329C">
        <w:rPr>
          <w:rFonts w:ascii="Bookman Old Style" w:hAnsi="Bookman Old Style"/>
          <w:lang w:val="es-ES"/>
        </w:rPr>
        <w:t>República la</w:t>
      </w:r>
      <w:r w:rsidRPr="00CA329C">
        <w:rPr>
          <w:rFonts w:ascii="Bookman Old Style" w:hAnsi="Bookman Old Style"/>
          <w:lang w:val="es-ES"/>
        </w:rPr>
        <w:t xml:space="preserve"> facultad de emitir decretos con fuerza de Ley para garantizar el funcionamiento y la financiación del sistema, en virtud de ello se decretaría su operatividad general</w:t>
      </w:r>
      <w:r w:rsidR="004C1957" w:rsidRPr="00CA329C">
        <w:rPr>
          <w:rFonts w:ascii="Bookman Old Style" w:hAnsi="Bookman Old Style"/>
          <w:lang w:val="es-ES"/>
        </w:rPr>
        <w:t>.</w:t>
      </w:r>
      <w:r w:rsidRPr="00CA329C">
        <w:rPr>
          <w:rFonts w:ascii="Bookman Old Style" w:hAnsi="Bookman Old Style"/>
          <w:lang w:val="es-ES"/>
        </w:rPr>
        <w:t xml:space="preserve"> </w:t>
      </w:r>
    </w:p>
    <w:p w14:paraId="141EB431" w14:textId="77777777" w:rsidR="00363DC4" w:rsidRPr="00CA329C" w:rsidRDefault="00363DC4" w:rsidP="00363DC4">
      <w:pPr>
        <w:rPr>
          <w:rFonts w:ascii="Bookman Old Style" w:hAnsi="Bookman Old Style"/>
          <w:lang w:val="es-ES"/>
        </w:rPr>
      </w:pPr>
    </w:p>
    <w:p w14:paraId="78F37737" w14:textId="77777777" w:rsidR="00363DC4" w:rsidRPr="00CA329C" w:rsidRDefault="00363DC4" w:rsidP="00962176">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Decreto 4923 de 2011.</w:t>
      </w:r>
      <w:r w:rsidRPr="00CA329C">
        <w:rPr>
          <w:rFonts w:ascii="Bookman Old Style" w:hAnsi="Bookman Old Style"/>
          <w:lang w:val="es-ES"/>
        </w:rPr>
        <w:t xml:space="preserve"> Por el cual se garantiza la operación del Sistema General de Regalías.</w:t>
      </w:r>
    </w:p>
    <w:p w14:paraId="2F317AC2" w14:textId="77777777" w:rsidR="00363DC4" w:rsidRPr="00CA329C" w:rsidRDefault="00363DC4" w:rsidP="00363DC4">
      <w:pPr>
        <w:rPr>
          <w:rFonts w:ascii="Bookman Old Style" w:hAnsi="Bookman Old Style"/>
          <w:lang w:val="es-ES"/>
        </w:rPr>
      </w:pPr>
    </w:p>
    <w:p w14:paraId="4AFC157B" w14:textId="0CC1B21A" w:rsidR="00363DC4" w:rsidRPr="00CA329C" w:rsidRDefault="00363DC4" w:rsidP="002434AE">
      <w:pPr>
        <w:jc w:val="both"/>
        <w:rPr>
          <w:rFonts w:ascii="Bookman Old Style" w:hAnsi="Bookman Old Style"/>
          <w:lang w:val="es-ES"/>
        </w:rPr>
      </w:pPr>
      <w:r w:rsidRPr="00CA329C">
        <w:rPr>
          <w:rFonts w:ascii="Bookman Old Style" w:hAnsi="Bookman Old Style"/>
          <w:lang w:val="es-ES"/>
        </w:rPr>
        <w:t xml:space="preserve">El artículo 152 del Decreto-Ley establece de forma taxativa que el control fiscal del Sistema le corresponde a la Contraloría General de la República y a su vez establece que los recursos para financiar las funciones conexas al control de las Regalías corresponden a los asignados al </w:t>
      </w:r>
      <w:r w:rsidR="00B41A56" w:rsidRPr="00CA329C">
        <w:rPr>
          <w:rFonts w:ascii="Bookman Old Style" w:hAnsi="Bookman Old Style"/>
          <w:lang w:val="es-ES"/>
        </w:rPr>
        <w:t xml:space="preserve">Sistema de Monitoreo, Seguimiento, Control y Evaluación. </w:t>
      </w:r>
      <w:r w:rsidRPr="00CA329C">
        <w:rPr>
          <w:rFonts w:ascii="Bookman Old Style" w:hAnsi="Bookman Old Style"/>
          <w:lang w:val="es-ES"/>
        </w:rPr>
        <w:t xml:space="preserve">  </w:t>
      </w:r>
    </w:p>
    <w:p w14:paraId="43D0E5C7" w14:textId="77777777" w:rsidR="00363DC4" w:rsidRPr="00CA329C" w:rsidRDefault="00363DC4" w:rsidP="00363DC4">
      <w:pPr>
        <w:rPr>
          <w:rFonts w:ascii="Bookman Old Style" w:hAnsi="Bookman Old Style"/>
          <w:lang w:val="es-ES"/>
        </w:rPr>
      </w:pPr>
    </w:p>
    <w:p w14:paraId="400BD1D1" w14:textId="77777777" w:rsidR="00363DC4" w:rsidRPr="00CA329C" w:rsidRDefault="00363DC4" w:rsidP="00962176">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Decreto 4950 de 2011</w:t>
      </w:r>
      <w:r w:rsidRPr="00CA329C">
        <w:rPr>
          <w:rFonts w:ascii="Bookman Old Style" w:hAnsi="Bookman Old Style"/>
          <w:lang w:val="es-ES"/>
        </w:rPr>
        <w:t>. Por el cual se expide el presupuesto del Sistema General de Regalías para la vigencia fiscal de 2012.</w:t>
      </w:r>
    </w:p>
    <w:p w14:paraId="207D268E" w14:textId="77777777" w:rsidR="00363DC4" w:rsidRPr="00CA329C" w:rsidRDefault="00363DC4" w:rsidP="00363DC4">
      <w:pPr>
        <w:rPr>
          <w:rFonts w:ascii="Bookman Old Style" w:hAnsi="Bookman Old Style"/>
          <w:lang w:val="es-ES"/>
        </w:rPr>
      </w:pPr>
    </w:p>
    <w:p w14:paraId="442DCEA6" w14:textId="0F6D0531" w:rsidR="00363DC4" w:rsidRPr="00CA329C" w:rsidRDefault="00363DC4" w:rsidP="002434AE">
      <w:pPr>
        <w:jc w:val="both"/>
        <w:rPr>
          <w:rFonts w:ascii="Bookman Old Style" w:hAnsi="Bookman Old Style"/>
          <w:lang w:val="es-ES"/>
        </w:rPr>
      </w:pPr>
      <w:r w:rsidRPr="00CA329C">
        <w:rPr>
          <w:rFonts w:ascii="Bookman Old Style" w:hAnsi="Bookman Old Style"/>
          <w:lang w:val="es-ES"/>
        </w:rPr>
        <w:t>En el artículo 3 se autorizó como gasto con cargo al SGR para el funcionamiento del Sistema de Monitoreo, Seguimiento, Control y Evaluación, con destino a la Contraloría</w:t>
      </w:r>
      <w:r w:rsidR="009B2D4E" w:rsidRPr="00CA329C">
        <w:rPr>
          <w:rFonts w:ascii="Bookman Old Style" w:hAnsi="Bookman Old Style"/>
          <w:lang w:val="es-ES"/>
        </w:rPr>
        <w:t xml:space="preserve"> </w:t>
      </w:r>
      <w:r w:rsidRPr="00CA329C">
        <w:rPr>
          <w:rFonts w:ascii="Bookman Old Style" w:hAnsi="Bookman Old Style"/>
          <w:lang w:val="es-ES"/>
        </w:rPr>
        <w:t xml:space="preserve">la suma de $14.484.534.750. </w:t>
      </w:r>
    </w:p>
    <w:p w14:paraId="2C5D7CD0" w14:textId="77777777" w:rsidR="00363DC4" w:rsidRPr="00CA329C" w:rsidRDefault="00363DC4" w:rsidP="00363DC4">
      <w:pPr>
        <w:rPr>
          <w:rFonts w:ascii="Bookman Old Style" w:hAnsi="Bookman Old Style"/>
          <w:lang w:val="es-ES"/>
        </w:rPr>
      </w:pPr>
    </w:p>
    <w:p w14:paraId="198A0E7B" w14:textId="77777777" w:rsidR="00363DC4" w:rsidRPr="00CA329C" w:rsidRDefault="00363DC4" w:rsidP="00962176">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Ley 1530 de 2012.</w:t>
      </w:r>
      <w:r w:rsidRPr="00CA329C">
        <w:rPr>
          <w:rFonts w:ascii="Bookman Old Style" w:hAnsi="Bookman Old Style"/>
          <w:lang w:val="es-ES"/>
        </w:rPr>
        <w:t xml:space="preserve"> Por la cual se regula la organización y el funcionamiento del Sistema General de Regalías.</w:t>
      </w:r>
    </w:p>
    <w:p w14:paraId="605A5322" w14:textId="77777777" w:rsidR="00363DC4" w:rsidRPr="00CA329C" w:rsidRDefault="00363DC4" w:rsidP="00363DC4">
      <w:pPr>
        <w:rPr>
          <w:rFonts w:ascii="Bookman Old Style" w:hAnsi="Bookman Old Style"/>
          <w:lang w:val="es-ES"/>
        </w:rPr>
      </w:pPr>
    </w:p>
    <w:p w14:paraId="04342003" w14:textId="463FFAB1" w:rsidR="00363DC4" w:rsidRPr="00CA329C" w:rsidRDefault="00363DC4" w:rsidP="00363DC4">
      <w:pPr>
        <w:jc w:val="both"/>
        <w:rPr>
          <w:rFonts w:ascii="Bookman Old Style" w:hAnsi="Bookman Old Style"/>
          <w:lang w:val="es-ES"/>
        </w:rPr>
      </w:pPr>
      <w:r w:rsidRPr="00CA329C">
        <w:rPr>
          <w:rFonts w:ascii="Bookman Old Style" w:hAnsi="Bookman Old Style"/>
          <w:lang w:val="es-ES"/>
        </w:rPr>
        <w:lastRenderedPageBreak/>
        <w:t xml:space="preserve">El artículo 152 de la Ley reiteró las funciones de control fiscal previstas en las normas previas expedidas bajo la figura de decretos ley. A su vez en su parágrafo 1 </w:t>
      </w:r>
      <w:r w:rsidR="005F7189" w:rsidRPr="00CA329C">
        <w:rPr>
          <w:rFonts w:ascii="Bookman Old Style" w:hAnsi="Bookman Old Style"/>
          <w:lang w:val="es-ES"/>
        </w:rPr>
        <w:t xml:space="preserve">revistió </w:t>
      </w:r>
      <w:r w:rsidRPr="00CA329C">
        <w:rPr>
          <w:rFonts w:ascii="Bookman Old Style" w:hAnsi="Bookman Old Style"/>
          <w:lang w:val="es-ES"/>
        </w:rPr>
        <w:t xml:space="preserve">al </w:t>
      </w:r>
      <w:proofErr w:type="gramStart"/>
      <w:r w:rsidR="00147247" w:rsidRPr="00CA329C">
        <w:rPr>
          <w:rFonts w:ascii="Bookman Old Style" w:hAnsi="Bookman Old Style"/>
          <w:lang w:val="es-ES"/>
        </w:rPr>
        <w:t>Presidente</w:t>
      </w:r>
      <w:proofErr w:type="gramEnd"/>
      <w:r w:rsidR="00147247" w:rsidRPr="00CA329C">
        <w:rPr>
          <w:rFonts w:ascii="Bookman Old Style" w:hAnsi="Bookman Old Style"/>
          <w:lang w:val="es-ES"/>
        </w:rPr>
        <w:t xml:space="preserve"> de la República </w:t>
      </w:r>
      <w:r w:rsidRPr="00CA329C">
        <w:rPr>
          <w:rFonts w:ascii="Bookman Old Style" w:hAnsi="Bookman Old Style"/>
          <w:lang w:val="es-ES"/>
        </w:rPr>
        <w:t xml:space="preserve">de precisas facultades extraordinarias para erigir, con una norma con rango de Ley los empleos necesarios en la planta de la CGR para garantizar sus labores de control. </w:t>
      </w:r>
    </w:p>
    <w:p w14:paraId="5EBCD2B4" w14:textId="77777777" w:rsidR="00363DC4" w:rsidRPr="00CA329C" w:rsidRDefault="00363DC4" w:rsidP="00363DC4">
      <w:pPr>
        <w:rPr>
          <w:rFonts w:ascii="Bookman Old Style" w:hAnsi="Bookman Old Style"/>
          <w:lang w:val="es-ES"/>
        </w:rPr>
      </w:pPr>
    </w:p>
    <w:p w14:paraId="0CEC2566" w14:textId="77777777" w:rsidR="00363DC4" w:rsidRPr="00CA329C" w:rsidRDefault="00363DC4" w:rsidP="00962176">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Decreto Ley 1539 de 2012</w:t>
      </w:r>
      <w:r w:rsidRPr="00CA329C">
        <w:rPr>
          <w:rFonts w:ascii="Bookman Old Style" w:hAnsi="Bookman Old Style"/>
          <w:lang w:val="es-ES"/>
        </w:rPr>
        <w:t xml:space="preserve">. Por el cual se establece una planta temporal de empleos en la Contraloría General de la República. </w:t>
      </w:r>
    </w:p>
    <w:p w14:paraId="5A638402" w14:textId="77777777" w:rsidR="00363DC4" w:rsidRPr="00CA329C" w:rsidRDefault="00363DC4" w:rsidP="00363DC4">
      <w:pPr>
        <w:rPr>
          <w:rFonts w:ascii="Bookman Old Style" w:hAnsi="Bookman Old Style"/>
          <w:lang w:val="es-ES"/>
        </w:rPr>
      </w:pPr>
    </w:p>
    <w:p w14:paraId="36CC2548" w14:textId="1F81342A"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Establece la totalidad de cargos mediante los cuales la CGR realizará control fiscal al SGR, lo anterior en desarrollo de las atribuciones consagradas en el parágrafo 1 del art 152 de la Ley 1530 que dio facultades extraordinarias al </w:t>
      </w:r>
      <w:proofErr w:type="gramStart"/>
      <w:r w:rsidR="00147247" w:rsidRPr="00CA329C">
        <w:rPr>
          <w:rFonts w:ascii="Bookman Old Style" w:hAnsi="Bookman Old Style"/>
          <w:lang w:val="es-ES"/>
        </w:rPr>
        <w:t>Presidente</w:t>
      </w:r>
      <w:proofErr w:type="gramEnd"/>
      <w:r w:rsidR="00147247" w:rsidRPr="00CA329C">
        <w:rPr>
          <w:rFonts w:ascii="Bookman Old Style" w:hAnsi="Bookman Old Style"/>
          <w:lang w:val="es-ES"/>
        </w:rPr>
        <w:t xml:space="preserve"> de la </w:t>
      </w:r>
      <w:r w:rsidR="00574450" w:rsidRPr="00CA329C">
        <w:rPr>
          <w:rFonts w:ascii="Bookman Old Style" w:hAnsi="Bookman Old Style"/>
          <w:lang w:val="es-ES"/>
        </w:rPr>
        <w:t>República.</w:t>
      </w:r>
      <w:r w:rsidRPr="00CA329C">
        <w:rPr>
          <w:rFonts w:ascii="Bookman Old Style" w:hAnsi="Bookman Old Style"/>
          <w:lang w:val="es-ES"/>
        </w:rPr>
        <w:t xml:space="preserve"> Creando la planta temporal de 338 cargos en la entidad de control.</w:t>
      </w:r>
    </w:p>
    <w:p w14:paraId="50BF0BDA" w14:textId="77777777" w:rsidR="00363DC4" w:rsidRPr="00CA329C" w:rsidRDefault="00363DC4" w:rsidP="00363DC4">
      <w:pPr>
        <w:rPr>
          <w:rFonts w:ascii="Bookman Old Style" w:hAnsi="Bookman Old Style"/>
          <w:lang w:val="es-ES"/>
        </w:rPr>
      </w:pPr>
    </w:p>
    <w:p w14:paraId="4C369C16" w14:textId="77777777" w:rsidR="00363DC4" w:rsidRPr="00CA329C" w:rsidRDefault="00363DC4" w:rsidP="00B953F9">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Ley 1606 de 2012.</w:t>
      </w:r>
      <w:r w:rsidRPr="00CA329C">
        <w:rPr>
          <w:rFonts w:ascii="Bookman Old Style" w:hAnsi="Bookman Old Style"/>
          <w:lang w:val="es-ES"/>
        </w:rPr>
        <w:t xml:space="preserve"> Por la cual se decreta el presupuesto del Sistema General de Regalías para el bienio del 1° de enero de 2013 al 31 de diciembre de 2014.</w:t>
      </w:r>
    </w:p>
    <w:p w14:paraId="660ED56D" w14:textId="77777777" w:rsidR="00363DC4" w:rsidRPr="00CA329C" w:rsidRDefault="00363DC4" w:rsidP="00363DC4">
      <w:pPr>
        <w:rPr>
          <w:rFonts w:ascii="Bookman Old Style" w:hAnsi="Bookman Old Style"/>
          <w:lang w:val="es-ES"/>
        </w:rPr>
      </w:pPr>
    </w:p>
    <w:p w14:paraId="621EA3D7"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En el artículo 3 se autorizó como gasto con cargo al SGR para el funcionamiento del Sistema de Monitoreo, Seguimiento, Control y Evaluación, con destino a la Contraloría la suma de $88.631.206.908.</w:t>
      </w:r>
    </w:p>
    <w:p w14:paraId="4C8068DD" w14:textId="77777777" w:rsidR="00363DC4" w:rsidRPr="00CA329C" w:rsidRDefault="00363DC4" w:rsidP="00363DC4">
      <w:pPr>
        <w:jc w:val="both"/>
        <w:rPr>
          <w:rFonts w:ascii="Bookman Old Style" w:hAnsi="Bookman Old Style"/>
          <w:lang w:val="es-ES"/>
        </w:rPr>
      </w:pPr>
    </w:p>
    <w:p w14:paraId="7543C67D"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A su vez, el artículo 33 de la Ley indicó que la naturaleza de los empleos de planta creados en los órganos del sistema, son de libre nombramiento y remoción.</w:t>
      </w:r>
    </w:p>
    <w:p w14:paraId="021F2EC9" w14:textId="77777777" w:rsidR="00363DC4" w:rsidRPr="00CA329C" w:rsidRDefault="00363DC4" w:rsidP="00363DC4">
      <w:pPr>
        <w:rPr>
          <w:rFonts w:ascii="Bookman Old Style" w:hAnsi="Bookman Old Style"/>
          <w:lang w:val="es-ES"/>
        </w:rPr>
      </w:pPr>
    </w:p>
    <w:p w14:paraId="01527D56" w14:textId="77777777" w:rsidR="00363DC4" w:rsidRPr="00CA329C" w:rsidRDefault="00363DC4" w:rsidP="00B953F9">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Ley 1744 de 2014.</w:t>
      </w:r>
      <w:r w:rsidRPr="00CA329C">
        <w:rPr>
          <w:rFonts w:ascii="Bookman Old Style" w:hAnsi="Bookman Old Style"/>
          <w:lang w:val="es-ES"/>
        </w:rPr>
        <w:t xml:space="preserve"> Por la cual se decreta el presupuesto del Sistema General de Regalías para el bienio del 1 de enero de 2015 al 31 de diciembre de 2016.</w:t>
      </w:r>
    </w:p>
    <w:p w14:paraId="549EF514" w14:textId="77777777" w:rsidR="00363DC4" w:rsidRPr="00CA329C" w:rsidRDefault="00363DC4" w:rsidP="00363DC4">
      <w:pPr>
        <w:rPr>
          <w:rFonts w:ascii="Bookman Old Style" w:hAnsi="Bookman Old Style"/>
          <w:lang w:val="es-ES"/>
        </w:rPr>
      </w:pPr>
    </w:p>
    <w:p w14:paraId="7B37BD19" w14:textId="3292AA30" w:rsidR="00363DC4" w:rsidRPr="00CA329C" w:rsidRDefault="00363DC4" w:rsidP="00972AB4">
      <w:pPr>
        <w:jc w:val="both"/>
        <w:rPr>
          <w:rFonts w:ascii="Bookman Old Style" w:hAnsi="Bookman Old Style"/>
          <w:lang w:val="es-ES"/>
        </w:rPr>
      </w:pPr>
      <w:r w:rsidRPr="00CA329C">
        <w:rPr>
          <w:rFonts w:ascii="Bookman Old Style" w:hAnsi="Bookman Old Style"/>
          <w:lang w:val="es-ES"/>
        </w:rPr>
        <w:t xml:space="preserve">El artículo 39 hace referencia directa a la planta temporal de la Contraloría General de la República excluyendo los empleos creados en la entidad en virtud del SGR del régimen de carrera administrativa previsto en la Ley 99 de 2004. </w:t>
      </w:r>
      <w:r w:rsidR="002434AE" w:rsidRPr="00CA329C">
        <w:rPr>
          <w:rFonts w:ascii="Bookman Old Style" w:hAnsi="Bookman Old Style"/>
          <w:lang w:val="es-ES"/>
        </w:rPr>
        <w:t>Igualmente,</w:t>
      </w:r>
      <w:r w:rsidRPr="00CA329C">
        <w:rPr>
          <w:rFonts w:ascii="Bookman Old Style" w:hAnsi="Bookman Old Style"/>
          <w:lang w:val="es-ES"/>
        </w:rPr>
        <w:t xml:space="preserve"> </w:t>
      </w:r>
      <w:r w:rsidR="006B4D39" w:rsidRPr="00CA329C">
        <w:rPr>
          <w:rFonts w:ascii="Bookman Old Style" w:hAnsi="Bookman Old Style"/>
          <w:lang w:val="es-ES"/>
        </w:rPr>
        <w:t>se prorrogó hasta el 31 de diciembre de 2016, los empleos de carácter temporal en la planta de la Contraloría General de la República, creados mediante Decreto</w:t>
      </w:r>
      <w:r w:rsidR="00A52D42" w:rsidRPr="00CA329C">
        <w:rPr>
          <w:rFonts w:ascii="Bookman Old Style" w:hAnsi="Bookman Old Style"/>
          <w:lang w:val="es-ES"/>
        </w:rPr>
        <w:t xml:space="preserve"> </w:t>
      </w:r>
      <w:r w:rsidR="006B4D39" w:rsidRPr="00CA329C">
        <w:rPr>
          <w:rFonts w:ascii="Bookman Old Style" w:hAnsi="Bookman Old Style"/>
          <w:lang w:val="es-ES"/>
        </w:rPr>
        <w:t xml:space="preserve">ley 1539 de 2012. </w:t>
      </w:r>
    </w:p>
    <w:p w14:paraId="5E85B2AA" w14:textId="77777777" w:rsidR="006B4D39" w:rsidRPr="00CA329C" w:rsidRDefault="006B4D39" w:rsidP="00972AB4">
      <w:pPr>
        <w:jc w:val="both"/>
        <w:rPr>
          <w:rFonts w:ascii="Bookman Old Style" w:hAnsi="Bookman Old Style"/>
          <w:lang w:val="es-ES"/>
        </w:rPr>
      </w:pPr>
    </w:p>
    <w:p w14:paraId="245E7181" w14:textId="06B8B416" w:rsidR="00363DC4" w:rsidRPr="00CA329C" w:rsidRDefault="00363DC4" w:rsidP="00363DC4">
      <w:pPr>
        <w:pStyle w:val="Prrafodelista"/>
        <w:numPr>
          <w:ilvl w:val="0"/>
          <w:numId w:val="1"/>
        </w:numPr>
        <w:rPr>
          <w:rFonts w:ascii="Bookman Old Style" w:hAnsi="Bookman Old Style"/>
          <w:b/>
          <w:bCs/>
          <w:lang w:val="es-ES"/>
        </w:rPr>
      </w:pPr>
      <w:r w:rsidRPr="00CA329C">
        <w:rPr>
          <w:rFonts w:ascii="Bookman Old Style" w:hAnsi="Bookman Old Style"/>
          <w:b/>
          <w:bCs/>
          <w:lang w:val="es-ES"/>
        </w:rPr>
        <w:t>Sentencia C 618 de 2015.</w:t>
      </w:r>
    </w:p>
    <w:p w14:paraId="56351A6F" w14:textId="77777777" w:rsidR="00363DC4" w:rsidRPr="00CA329C" w:rsidRDefault="00363DC4" w:rsidP="00363DC4">
      <w:pPr>
        <w:rPr>
          <w:rFonts w:ascii="Bookman Old Style" w:hAnsi="Bookman Old Style"/>
          <w:lang w:val="es-ES"/>
        </w:rPr>
      </w:pPr>
    </w:p>
    <w:p w14:paraId="4E43F37C"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La citada providencia de la Corte Constitucional valora la necesidad de los controles en el sistema; a la vez, declaró inconstitucional algunos apartes del </w:t>
      </w:r>
      <w:r w:rsidRPr="00CA329C">
        <w:rPr>
          <w:rFonts w:ascii="Bookman Old Style" w:hAnsi="Bookman Old Style"/>
          <w:lang w:val="es-ES"/>
        </w:rPr>
        <w:lastRenderedPageBreak/>
        <w:t>artículo 39 de la Ley 1744 relacionada con la naturaleza de libre nombramiento y remoción de los cargos en la CGR argumentando:</w:t>
      </w:r>
    </w:p>
    <w:p w14:paraId="1FE0A9C0" w14:textId="77777777" w:rsidR="00363DC4" w:rsidRPr="00CA329C" w:rsidRDefault="00363DC4" w:rsidP="00363DC4">
      <w:pPr>
        <w:jc w:val="both"/>
        <w:rPr>
          <w:rFonts w:ascii="Bookman Old Style" w:hAnsi="Bookman Old Style"/>
          <w:lang w:val="es-ES"/>
        </w:rPr>
      </w:pPr>
    </w:p>
    <w:p w14:paraId="08DCEC17" w14:textId="7E9C44D3" w:rsidR="00363DC4" w:rsidRPr="00080030" w:rsidRDefault="00363DC4" w:rsidP="00080030">
      <w:pPr>
        <w:pStyle w:val="Prrafodelista"/>
        <w:numPr>
          <w:ilvl w:val="1"/>
          <w:numId w:val="15"/>
        </w:numPr>
        <w:ind w:left="426"/>
        <w:jc w:val="both"/>
        <w:rPr>
          <w:rFonts w:ascii="Bookman Old Style" w:hAnsi="Bookman Old Style"/>
          <w:lang w:val="es-ES"/>
        </w:rPr>
      </w:pPr>
      <w:r w:rsidRPr="00080030">
        <w:rPr>
          <w:rFonts w:ascii="Bookman Old Style" w:hAnsi="Bookman Old Style"/>
          <w:lang w:val="es-ES"/>
        </w:rPr>
        <w:t>Se requiere, pues, que el Congreso de la República busque un equilibrio “entre dos principios de la función pública”, a saber: “el derecho de igualdad de oportunidades que tienen los ciudadanos para acceder al desempeño de cargos y funciones públicas” y la búsqueda de la eficiencia y la eficacia en la administración, mediante mecanismos que permitan seleccionar aquellos trabajadores que, por su mérito y capacidad profesional, resulten los más idóneos para cumplir con las funciones y responsabilidades inherentes al cargo”</w:t>
      </w:r>
    </w:p>
    <w:p w14:paraId="1E59F0D2" w14:textId="77777777" w:rsidR="00363DC4" w:rsidRPr="00CA329C" w:rsidRDefault="00363DC4" w:rsidP="00080030">
      <w:pPr>
        <w:ind w:left="426"/>
        <w:jc w:val="both"/>
        <w:rPr>
          <w:rFonts w:ascii="Bookman Old Style" w:hAnsi="Bookman Old Style"/>
          <w:lang w:val="es-ES"/>
        </w:rPr>
      </w:pPr>
    </w:p>
    <w:p w14:paraId="7B78602F" w14:textId="35E4D6C9" w:rsidR="00363DC4" w:rsidRPr="00080030" w:rsidRDefault="00363DC4" w:rsidP="00080030">
      <w:pPr>
        <w:pStyle w:val="Prrafodelista"/>
        <w:numPr>
          <w:ilvl w:val="1"/>
          <w:numId w:val="15"/>
        </w:numPr>
        <w:ind w:left="426"/>
        <w:jc w:val="both"/>
        <w:rPr>
          <w:rFonts w:ascii="Bookman Old Style" w:hAnsi="Bookman Old Style"/>
          <w:lang w:val="es-ES"/>
        </w:rPr>
      </w:pPr>
      <w:r w:rsidRPr="00080030">
        <w:rPr>
          <w:rFonts w:ascii="Bookman Old Style" w:hAnsi="Bookman Old Style"/>
          <w:lang w:val="es-ES"/>
        </w:rPr>
        <w:t>La evaluación del mérito, como mecanismo de acceso al servicio del Estado, tiene importantes repercusiones en diferentes ámbitos constitucionales, trátese o no de la provisión de empleos de carrera administrativa. En este sentido la Corte ha anotado que “la facultad otorgada al legislador para regular las condiciones y requisitos que se imponen para el acceso a los cargos públicos” tiene que velar por “el logro de los fines esenciales del Estado” contemplados en el artículo 2º de la Constitución</w:t>
      </w:r>
    </w:p>
    <w:p w14:paraId="540ED83E" w14:textId="77777777" w:rsidR="00363DC4" w:rsidRPr="00CA329C" w:rsidRDefault="00363DC4" w:rsidP="00080030">
      <w:pPr>
        <w:ind w:left="426"/>
        <w:jc w:val="both"/>
        <w:rPr>
          <w:rFonts w:ascii="Bookman Old Style" w:hAnsi="Bookman Old Style"/>
          <w:lang w:val="es-ES"/>
        </w:rPr>
      </w:pPr>
    </w:p>
    <w:p w14:paraId="588AB563" w14:textId="7EF76695" w:rsidR="00363DC4" w:rsidRPr="00080030" w:rsidRDefault="00363DC4" w:rsidP="00080030">
      <w:pPr>
        <w:pStyle w:val="Prrafodelista"/>
        <w:numPr>
          <w:ilvl w:val="1"/>
          <w:numId w:val="15"/>
        </w:numPr>
        <w:ind w:left="426"/>
        <w:jc w:val="both"/>
        <w:rPr>
          <w:rFonts w:ascii="Bookman Old Style" w:hAnsi="Bookman Old Style"/>
          <w:lang w:val="es-ES"/>
        </w:rPr>
      </w:pPr>
      <w:r w:rsidRPr="00080030">
        <w:rPr>
          <w:rFonts w:ascii="Bookman Old Style" w:hAnsi="Bookman Old Style"/>
          <w:lang w:val="es-ES"/>
        </w:rPr>
        <w:t>La Corte estimó que para determinar cuándo un empleo puede ser de libre nombramiento y remoción “hay que señalar en primer término que tenga fundamento legal” y, adicionalmente, indicó que la ley no puede extender el catálogo de los empleos de libre nombramiento y remoción “para producir el efecto de que la regla general se convierta en excepción”, por lo cual “debe haber un  principio de razón suficiente” que justifique el establecimiento de esta clase de excepciones a la carrera administrativa, como lo sería de índole de la función misma “que en su desarrollo esencial, exija una confianza plena y total, o implique una decisión política”</w:t>
      </w:r>
    </w:p>
    <w:p w14:paraId="5C5D8243" w14:textId="77777777" w:rsidR="00363DC4" w:rsidRPr="00CA329C" w:rsidRDefault="00363DC4" w:rsidP="00080030">
      <w:pPr>
        <w:ind w:left="426"/>
        <w:jc w:val="both"/>
        <w:rPr>
          <w:rFonts w:ascii="Bookman Old Style" w:hAnsi="Bookman Old Style"/>
          <w:lang w:val="es-ES"/>
        </w:rPr>
      </w:pPr>
    </w:p>
    <w:p w14:paraId="0A5B2261" w14:textId="48283CFB" w:rsidR="00363DC4" w:rsidRPr="00080030" w:rsidRDefault="00363DC4" w:rsidP="00080030">
      <w:pPr>
        <w:pStyle w:val="Prrafodelista"/>
        <w:numPr>
          <w:ilvl w:val="1"/>
          <w:numId w:val="15"/>
        </w:numPr>
        <w:ind w:left="426"/>
        <w:jc w:val="both"/>
        <w:rPr>
          <w:rFonts w:ascii="Bookman Old Style" w:hAnsi="Bookman Old Style"/>
          <w:lang w:val="es-ES"/>
        </w:rPr>
      </w:pPr>
      <w:r w:rsidRPr="00080030">
        <w:rPr>
          <w:rFonts w:ascii="Bookman Old Style" w:hAnsi="Bookman Old Style"/>
          <w:lang w:val="es-ES"/>
        </w:rPr>
        <w:t>La Corporación puntualizó que los cargos de libre nombramiento y remoción “no pueden ser otros que los creados de manera específica, según el catálogo de funciones del organismo correspondiente, para cumplir un papel directivo, de manejo, de conducción u orientación institucional, en cuyo ejercicio se adoptan políticas o directrices fundamentales, o los que implican la necesaria confianza de quien tiene a su cargo dicho tipo de responsabilidades”</w:t>
      </w:r>
    </w:p>
    <w:p w14:paraId="65429523" w14:textId="77777777" w:rsidR="00363DC4" w:rsidRPr="00CA329C" w:rsidRDefault="00363DC4" w:rsidP="00080030">
      <w:pPr>
        <w:ind w:left="426"/>
        <w:jc w:val="both"/>
        <w:rPr>
          <w:rFonts w:ascii="Bookman Old Style" w:hAnsi="Bookman Old Style"/>
          <w:lang w:val="es-ES"/>
        </w:rPr>
      </w:pPr>
    </w:p>
    <w:p w14:paraId="46605EDE" w14:textId="78BE8057" w:rsidR="00363DC4" w:rsidRPr="00080030" w:rsidRDefault="00363DC4" w:rsidP="00080030">
      <w:pPr>
        <w:pStyle w:val="Prrafodelista"/>
        <w:numPr>
          <w:ilvl w:val="1"/>
          <w:numId w:val="15"/>
        </w:numPr>
        <w:ind w:left="426"/>
        <w:jc w:val="both"/>
        <w:rPr>
          <w:rFonts w:ascii="Bookman Old Style" w:hAnsi="Bookman Old Style"/>
          <w:lang w:val="es-ES"/>
        </w:rPr>
      </w:pPr>
      <w:r w:rsidRPr="00080030">
        <w:rPr>
          <w:rFonts w:ascii="Bookman Old Style" w:hAnsi="Bookman Old Style"/>
          <w:lang w:val="es-ES"/>
        </w:rPr>
        <w:t xml:space="preserve">Esta Corporación ha destacado que “para que la función del legislador tenga cabal desarrollo con estricto apego a la normativa fundamental, es necesario que, al expedirse la ley, se considere de manera objetiva cuál es el papel que juegan los distintos cargos dentro de la estructura del Estado </w:t>
      </w:r>
      <w:r w:rsidRPr="00080030">
        <w:rPr>
          <w:rFonts w:ascii="Bookman Old Style" w:hAnsi="Bookman Old Style"/>
          <w:lang w:val="es-ES"/>
        </w:rPr>
        <w:lastRenderedPageBreak/>
        <w:t>y que se evalúe el tipo de funciones a ellos asignadas, con el fin de decidir cuáles resultan incompatibles con el sistema de carrera”</w:t>
      </w:r>
    </w:p>
    <w:p w14:paraId="7A244DDA" w14:textId="77777777" w:rsidR="00363DC4" w:rsidRPr="00CA329C" w:rsidRDefault="00363DC4" w:rsidP="00080030">
      <w:pPr>
        <w:ind w:left="426"/>
        <w:jc w:val="both"/>
        <w:rPr>
          <w:rFonts w:ascii="Bookman Old Style" w:hAnsi="Bookman Old Style"/>
          <w:lang w:val="es-ES"/>
        </w:rPr>
      </w:pPr>
    </w:p>
    <w:p w14:paraId="6583506D" w14:textId="49BF64C7" w:rsidR="00363DC4" w:rsidRPr="00080030" w:rsidRDefault="00363DC4" w:rsidP="00080030">
      <w:pPr>
        <w:pStyle w:val="Prrafodelista"/>
        <w:numPr>
          <w:ilvl w:val="1"/>
          <w:numId w:val="15"/>
        </w:numPr>
        <w:ind w:left="426"/>
        <w:jc w:val="both"/>
        <w:rPr>
          <w:rFonts w:ascii="Bookman Old Style" w:hAnsi="Bookman Old Style"/>
        </w:rPr>
      </w:pPr>
      <w:r w:rsidRPr="00080030">
        <w:rPr>
          <w:rFonts w:ascii="Bookman Old Style" w:hAnsi="Bookman Old Style"/>
          <w:lang w:val="es-ES"/>
        </w:rPr>
        <w:t>Así las cosas, en resumen, cabe sostener que, si los empleos temporales a los que se refiere el primer inciso del</w:t>
      </w:r>
      <w:r w:rsidRPr="00080030">
        <w:rPr>
          <w:rFonts w:ascii="Bookman Old Style" w:hAnsi="Bookman Old Style"/>
          <w:b/>
          <w:bCs/>
          <w:lang w:val="es-ES"/>
        </w:rPr>
        <w:t xml:space="preserve"> artículo 39 de la Ley 1744 de 2014 no son de libre nombramiento y remoción ni de carrera administrativa, es evidente que deben tener un régimen jurídico distinto</w:t>
      </w:r>
      <w:r w:rsidRPr="00080030">
        <w:rPr>
          <w:rFonts w:ascii="Bookman Old Style" w:hAnsi="Bookman Old Style"/>
          <w:lang w:val="es-ES"/>
        </w:rPr>
        <w:t>. Para averiguar cuál es ese régimen basta reparar en que, según la redacción del precepto acusado, la calificación como empleos de libre nombramiento y remoción se concordaba con la condición establecida en la última parte del inciso primero, de conformidad con cuyo tenor literal “Por tanto, no se sujetarán a las disposiciones previstas en la Ley 909 de 2004”.</w:t>
      </w:r>
    </w:p>
    <w:p w14:paraId="271ABE56" w14:textId="77777777" w:rsidR="00D27EE2" w:rsidRPr="00CA329C" w:rsidRDefault="00D27EE2" w:rsidP="002434AE">
      <w:pPr>
        <w:jc w:val="both"/>
        <w:rPr>
          <w:rFonts w:ascii="Bookman Old Style" w:hAnsi="Bookman Old Style"/>
          <w:lang w:val="es-ES"/>
        </w:rPr>
      </w:pPr>
    </w:p>
    <w:p w14:paraId="00B11129" w14:textId="7D0E4284" w:rsidR="00D27EE2" w:rsidRPr="00CA329C" w:rsidRDefault="00D27EE2" w:rsidP="002434AE">
      <w:pPr>
        <w:jc w:val="both"/>
        <w:rPr>
          <w:rFonts w:ascii="Bookman Old Style" w:hAnsi="Bookman Old Style"/>
          <w:lang w:val="es-ES"/>
        </w:rPr>
      </w:pPr>
      <w:r w:rsidRPr="00CA329C">
        <w:rPr>
          <w:rFonts w:ascii="Bookman Old Style" w:hAnsi="Bookman Old Style"/>
          <w:lang w:val="es-ES"/>
        </w:rPr>
        <w:t>Habiéndose hallado inconstitucional la primera parte del enunciado, la exclusión de lo establecido en la Ley 909 de 2004 pierde su sustento y deja de estar en armonía con lo que queda del inciso, luego es lógico concluir que, desechada la incorporación de los empleos temporales en la categoría de los de libre nombramiento y remoción, se sigue como consecuencia que lo previsto en la Ley 909 de 2004, antes descartada, debe ser tenido en cuenta ahora para determinar si en sus regulaciones se encuentra el régimen de los empleos temporales de la planta de personal requerida para el cumplimiento de las funciones de la Contraloría General de la República.</w:t>
      </w:r>
    </w:p>
    <w:p w14:paraId="2F644211" w14:textId="77777777" w:rsidR="00D27EE2" w:rsidRPr="00CA329C" w:rsidRDefault="00D27EE2" w:rsidP="002434AE">
      <w:pPr>
        <w:jc w:val="both"/>
        <w:rPr>
          <w:rFonts w:ascii="Bookman Old Style" w:hAnsi="Bookman Old Style"/>
          <w:lang w:val="es-ES"/>
        </w:rPr>
      </w:pPr>
    </w:p>
    <w:p w14:paraId="206E16C4" w14:textId="77777777" w:rsidR="00363DC4" w:rsidRPr="00CA329C" w:rsidRDefault="00363DC4" w:rsidP="00080030">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Decreto 2190 de 2016.</w:t>
      </w:r>
      <w:r w:rsidRPr="00CA329C">
        <w:rPr>
          <w:rFonts w:ascii="Bookman Old Style" w:hAnsi="Bookman Old Style"/>
          <w:lang w:val="es-ES"/>
        </w:rPr>
        <w:t xml:space="preserve"> Por el cual se decreta el Presupuesto del Sistema General de Regalías para el bienio del 1° de enero de 2017 al 31 de diciembre de 2018.</w:t>
      </w:r>
    </w:p>
    <w:p w14:paraId="3A6C2450" w14:textId="77777777" w:rsidR="00363DC4" w:rsidRPr="00CA329C" w:rsidRDefault="00363DC4" w:rsidP="00363DC4">
      <w:pPr>
        <w:rPr>
          <w:rFonts w:ascii="Bookman Old Style" w:hAnsi="Bookman Old Style"/>
          <w:lang w:val="es-ES"/>
        </w:rPr>
      </w:pPr>
    </w:p>
    <w:p w14:paraId="30E07AD9" w14:textId="3D71710D" w:rsidR="00363DC4" w:rsidRPr="00CA329C" w:rsidRDefault="00363DC4" w:rsidP="002434AE">
      <w:pPr>
        <w:jc w:val="both"/>
        <w:rPr>
          <w:rFonts w:ascii="Bookman Old Style" w:hAnsi="Bookman Old Style"/>
          <w:lang w:val="es-ES"/>
        </w:rPr>
      </w:pPr>
      <w:r w:rsidRPr="00CA329C">
        <w:rPr>
          <w:rFonts w:ascii="Bookman Old Style" w:hAnsi="Bookman Old Style"/>
          <w:lang w:val="es-ES"/>
        </w:rPr>
        <w:t>El citado decreto estableció en su artículo 42 la prórroga de la planta temporal desarrollada en el Decreto</w:t>
      </w:r>
      <w:r w:rsidR="00FB6195" w:rsidRPr="00CA329C">
        <w:rPr>
          <w:rFonts w:ascii="Bookman Old Style" w:hAnsi="Bookman Old Style"/>
          <w:lang w:val="es-ES"/>
        </w:rPr>
        <w:t xml:space="preserve"> ley</w:t>
      </w:r>
      <w:r w:rsidRPr="00CA329C">
        <w:rPr>
          <w:rFonts w:ascii="Bookman Old Style" w:hAnsi="Bookman Old Style"/>
          <w:lang w:val="es-ES"/>
        </w:rPr>
        <w:t xml:space="preserve"> 1539 de 2012 hasta el 31 de diciembre de 2018. Igualmente se facultó al Contralor General para </w:t>
      </w:r>
      <w:bookmarkStart w:id="4" w:name="_Hlk183170491"/>
      <w:r w:rsidR="00FB6195" w:rsidRPr="00CA329C">
        <w:rPr>
          <w:rFonts w:ascii="Bookman Old Style" w:hAnsi="Bookman Old Style"/>
          <w:lang w:val="es-ES"/>
        </w:rPr>
        <w:t>reducir, suprimir o refundir empleos en la Planta temporal, a efectos de surtir los ajustes necesarios para que la Planta de Personal fuera consistente con los montos apropiados en dicho decreto.</w:t>
      </w:r>
      <w:r w:rsidRPr="00CA329C">
        <w:rPr>
          <w:rFonts w:ascii="Bookman Old Style" w:hAnsi="Bookman Old Style"/>
          <w:lang w:val="es-ES"/>
        </w:rPr>
        <w:t xml:space="preserve"> </w:t>
      </w:r>
    </w:p>
    <w:bookmarkEnd w:id="4"/>
    <w:p w14:paraId="2ED59420" w14:textId="77777777" w:rsidR="00363DC4" w:rsidRPr="00CA329C" w:rsidRDefault="00363DC4" w:rsidP="00363DC4">
      <w:pPr>
        <w:rPr>
          <w:rFonts w:ascii="Bookman Old Style" w:hAnsi="Bookman Old Style"/>
          <w:lang w:val="es-ES"/>
        </w:rPr>
      </w:pPr>
    </w:p>
    <w:p w14:paraId="52A0596E" w14:textId="77777777" w:rsidR="00363DC4" w:rsidRPr="00CA329C" w:rsidRDefault="00363DC4" w:rsidP="00E37CA8">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t>Ley 1942 de 2018.</w:t>
      </w:r>
      <w:r w:rsidRPr="00CA329C">
        <w:rPr>
          <w:rFonts w:ascii="Bookman Old Style" w:hAnsi="Bookman Old Style"/>
          <w:lang w:val="es-ES"/>
        </w:rPr>
        <w:t xml:space="preserve"> Por la cual se decreta el presupuesto del Sistema General de Regalías para el Bienio del 1 de enero de 2019 al 31 de diciembre de 2020.</w:t>
      </w:r>
    </w:p>
    <w:p w14:paraId="6C93A793" w14:textId="77777777" w:rsidR="00363DC4" w:rsidRPr="00CA329C" w:rsidRDefault="00363DC4" w:rsidP="00363DC4">
      <w:pPr>
        <w:rPr>
          <w:rFonts w:ascii="Bookman Old Style" w:hAnsi="Bookman Old Style"/>
          <w:lang w:val="es-ES"/>
        </w:rPr>
      </w:pPr>
    </w:p>
    <w:p w14:paraId="7790B1B4"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En cuanto al tema de la planta temporal, la Ley desarrolló el artículo 38 que tiene las siguientes características:</w:t>
      </w:r>
    </w:p>
    <w:p w14:paraId="04FE379C" w14:textId="77777777" w:rsidR="00363DC4" w:rsidRPr="00CA329C" w:rsidRDefault="00363DC4" w:rsidP="00363DC4">
      <w:pPr>
        <w:jc w:val="both"/>
        <w:rPr>
          <w:rFonts w:ascii="Bookman Old Style" w:hAnsi="Bookman Old Style"/>
          <w:lang w:val="es-ES"/>
        </w:rPr>
      </w:pPr>
    </w:p>
    <w:p w14:paraId="27A820D5" w14:textId="5BEFE539" w:rsidR="00363DC4" w:rsidRPr="00E37CA8" w:rsidRDefault="00363DC4" w:rsidP="00E37CA8">
      <w:pPr>
        <w:pStyle w:val="Prrafodelista"/>
        <w:numPr>
          <w:ilvl w:val="0"/>
          <w:numId w:val="16"/>
        </w:numPr>
        <w:ind w:left="426"/>
        <w:jc w:val="both"/>
        <w:rPr>
          <w:rFonts w:ascii="Bookman Old Style" w:hAnsi="Bookman Old Style"/>
          <w:lang w:val="es-ES"/>
        </w:rPr>
      </w:pPr>
      <w:r w:rsidRPr="00E37CA8">
        <w:rPr>
          <w:rFonts w:ascii="Bookman Old Style" w:hAnsi="Bookman Old Style"/>
          <w:lang w:val="es-ES"/>
        </w:rPr>
        <w:lastRenderedPageBreak/>
        <w:t>“Decretó (110) cargos discriminando su nivel jerárquico. Tácitamente derogó la planta creada en 2012.</w:t>
      </w:r>
    </w:p>
    <w:p w14:paraId="4BD77F15" w14:textId="77777777" w:rsidR="00782CA3" w:rsidRPr="00CA329C" w:rsidRDefault="00782CA3" w:rsidP="00E37CA8">
      <w:pPr>
        <w:ind w:left="426"/>
        <w:jc w:val="both"/>
        <w:rPr>
          <w:rFonts w:ascii="Bookman Old Style" w:hAnsi="Bookman Old Style"/>
          <w:lang w:val="es-ES"/>
        </w:rPr>
      </w:pPr>
    </w:p>
    <w:p w14:paraId="780057F4" w14:textId="02949E9F" w:rsidR="00363DC4" w:rsidRPr="00E37CA8" w:rsidRDefault="00363DC4" w:rsidP="00E37CA8">
      <w:pPr>
        <w:pStyle w:val="Prrafodelista"/>
        <w:numPr>
          <w:ilvl w:val="0"/>
          <w:numId w:val="16"/>
        </w:numPr>
        <w:ind w:left="426"/>
        <w:jc w:val="both"/>
        <w:rPr>
          <w:rFonts w:ascii="Bookman Old Style" w:hAnsi="Bookman Old Style"/>
          <w:lang w:val="es-ES"/>
        </w:rPr>
      </w:pPr>
      <w:r w:rsidRPr="00E37CA8">
        <w:rPr>
          <w:rFonts w:ascii="Bookman Old Style" w:hAnsi="Bookman Old Style"/>
          <w:lang w:val="es-ES"/>
        </w:rPr>
        <w:t xml:space="preserve">Habilitó al contralor a expedir mediante acto administrativo el detalle de las funciones específicas de los empleos. </w:t>
      </w:r>
    </w:p>
    <w:p w14:paraId="403B1DE8" w14:textId="475643DA" w:rsidR="00363DC4" w:rsidRPr="00E37CA8" w:rsidRDefault="00363DC4" w:rsidP="00E37CA8">
      <w:pPr>
        <w:pStyle w:val="Prrafodelista"/>
        <w:numPr>
          <w:ilvl w:val="0"/>
          <w:numId w:val="16"/>
        </w:numPr>
        <w:ind w:left="426"/>
        <w:jc w:val="both"/>
        <w:rPr>
          <w:rFonts w:ascii="Bookman Old Style" w:hAnsi="Bookman Old Style"/>
          <w:lang w:val="es-ES"/>
        </w:rPr>
      </w:pPr>
      <w:r w:rsidRPr="00E37CA8">
        <w:rPr>
          <w:rFonts w:ascii="Bookman Old Style" w:hAnsi="Bookman Old Style"/>
          <w:lang w:val="es-ES"/>
        </w:rPr>
        <w:t xml:space="preserve">Habilitó a contratistas a adelantar funciones de vigilancia y control fiscal. </w:t>
      </w:r>
    </w:p>
    <w:p w14:paraId="36EBF9B0" w14:textId="77777777" w:rsidR="00782CA3" w:rsidRPr="00CA329C" w:rsidRDefault="00782CA3" w:rsidP="00E37CA8">
      <w:pPr>
        <w:ind w:left="426"/>
        <w:jc w:val="both"/>
        <w:rPr>
          <w:rFonts w:ascii="Bookman Old Style" w:hAnsi="Bookman Old Style"/>
          <w:lang w:val="es-ES"/>
        </w:rPr>
      </w:pPr>
    </w:p>
    <w:p w14:paraId="36F72745" w14:textId="4AD251FD" w:rsidR="00363DC4" w:rsidRPr="00E37CA8" w:rsidRDefault="00363DC4" w:rsidP="00E37CA8">
      <w:pPr>
        <w:pStyle w:val="Prrafodelista"/>
        <w:numPr>
          <w:ilvl w:val="0"/>
          <w:numId w:val="16"/>
        </w:numPr>
        <w:ind w:left="426"/>
        <w:jc w:val="both"/>
        <w:rPr>
          <w:rFonts w:ascii="Bookman Old Style" w:hAnsi="Bookman Old Style"/>
          <w:lang w:val="es-ES"/>
        </w:rPr>
      </w:pPr>
      <w:r w:rsidRPr="00E37CA8">
        <w:rPr>
          <w:rFonts w:ascii="Bookman Old Style" w:hAnsi="Bookman Old Style"/>
          <w:lang w:val="es-ES"/>
        </w:rPr>
        <w:t>Habilitó al Contralor a ajustar la planta según el presupuesto real del SGR en el bienio.”</w:t>
      </w:r>
    </w:p>
    <w:p w14:paraId="7C346AD8" w14:textId="621195EA" w:rsidR="00245B7F" w:rsidRPr="00CA329C" w:rsidRDefault="00363DC4" w:rsidP="00363DC4">
      <w:pPr>
        <w:rPr>
          <w:rFonts w:ascii="Bookman Old Style" w:hAnsi="Bookman Old Style"/>
          <w:lang w:val="es-ES"/>
        </w:rPr>
      </w:pPr>
      <w:r w:rsidRPr="00CA329C">
        <w:rPr>
          <w:rFonts w:ascii="Bookman Old Style" w:hAnsi="Bookman Old Style"/>
          <w:lang w:val="es-ES"/>
        </w:rPr>
        <w:t xml:space="preserve"> </w:t>
      </w:r>
    </w:p>
    <w:p w14:paraId="1D71FAFF" w14:textId="77777777" w:rsidR="00363DC4" w:rsidRPr="00CA329C" w:rsidRDefault="00363DC4" w:rsidP="00363DC4">
      <w:pPr>
        <w:pStyle w:val="Prrafodelista"/>
        <w:numPr>
          <w:ilvl w:val="0"/>
          <w:numId w:val="1"/>
        </w:numPr>
        <w:rPr>
          <w:rFonts w:ascii="Bookman Old Style" w:hAnsi="Bookman Old Style"/>
          <w:b/>
          <w:bCs/>
          <w:lang w:val="es-ES"/>
        </w:rPr>
      </w:pPr>
      <w:r w:rsidRPr="00CA329C">
        <w:rPr>
          <w:rFonts w:ascii="Bookman Old Style" w:hAnsi="Bookman Old Style"/>
          <w:b/>
          <w:bCs/>
          <w:lang w:val="es-ES"/>
        </w:rPr>
        <w:t>Sentencia C 483 de 2020.</w:t>
      </w:r>
    </w:p>
    <w:p w14:paraId="38B6D79D" w14:textId="77777777" w:rsidR="00363DC4" w:rsidRPr="00CA329C" w:rsidRDefault="00363DC4" w:rsidP="00363DC4">
      <w:pPr>
        <w:rPr>
          <w:rFonts w:ascii="Bookman Old Style" w:hAnsi="Bookman Old Style"/>
          <w:lang w:val="es-ES"/>
        </w:rPr>
      </w:pPr>
    </w:p>
    <w:p w14:paraId="597A66BE" w14:textId="72E36CDB" w:rsidR="00363DC4" w:rsidRPr="00CA329C" w:rsidRDefault="00363DC4" w:rsidP="00363DC4">
      <w:pPr>
        <w:jc w:val="both"/>
        <w:rPr>
          <w:rFonts w:ascii="Bookman Old Style" w:hAnsi="Bookman Old Style"/>
          <w:lang w:val="es-ES"/>
        </w:rPr>
      </w:pPr>
      <w:r w:rsidRPr="00CA329C">
        <w:rPr>
          <w:rFonts w:ascii="Bookman Old Style" w:hAnsi="Bookman Old Style"/>
          <w:lang w:val="es-ES"/>
        </w:rPr>
        <w:t>El artículo</w:t>
      </w:r>
      <w:r w:rsidR="00245B7F" w:rsidRPr="00CA329C">
        <w:rPr>
          <w:rFonts w:ascii="Bookman Old Style" w:hAnsi="Bookman Old Style"/>
          <w:lang w:val="es-ES"/>
        </w:rPr>
        <w:t xml:space="preserve"> 38 de la Ley 1942 de 2018 </w:t>
      </w:r>
      <w:r w:rsidRPr="00CA329C">
        <w:rPr>
          <w:rFonts w:ascii="Bookman Old Style" w:hAnsi="Bookman Old Style"/>
          <w:lang w:val="es-ES"/>
        </w:rPr>
        <w:t xml:space="preserve">fue declarado inconstitucional en noviembre de 2020 mediante la sentencia C 483, con efectos </w:t>
      </w:r>
      <w:r w:rsidR="00AD0EB7" w:rsidRPr="00CA329C">
        <w:rPr>
          <w:rFonts w:ascii="Bookman Old Style" w:hAnsi="Bookman Old Style"/>
          <w:lang w:val="es-ES"/>
        </w:rPr>
        <w:t xml:space="preserve">diferidos a partir del </w:t>
      </w:r>
      <w:r w:rsidRPr="00CA329C">
        <w:rPr>
          <w:rFonts w:ascii="Bookman Old Style" w:hAnsi="Bookman Old Style"/>
          <w:lang w:val="es-ES"/>
        </w:rPr>
        <w:t xml:space="preserve">1 de enero de 2021. Argumentando lo siguiente: </w:t>
      </w:r>
    </w:p>
    <w:p w14:paraId="47C47684" w14:textId="77777777" w:rsidR="00363DC4" w:rsidRPr="00CA329C" w:rsidRDefault="00363DC4" w:rsidP="00363DC4">
      <w:pPr>
        <w:jc w:val="both"/>
        <w:rPr>
          <w:rFonts w:ascii="Bookman Old Style" w:hAnsi="Bookman Old Style"/>
          <w:lang w:val="es-ES"/>
        </w:rPr>
      </w:pPr>
    </w:p>
    <w:p w14:paraId="57038A95"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w:t>
      </w:r>
      <w:r w:rsidRPr="00CA329C">
        <w:rPr>
          <w:rFonts w:ascii="Bookman Old Style" w:hAnsi="Bookman Old Style"/>
          <w:lang w:val="es-ES"/>
        </w:rPr>
        <w:tab/>
        <w:t>135. En tal virtud, es al legislador al que le corresponde determinar la estructura de la Contraloría General de la República y, con fundamento en ello, crear su planta de personal, en la misma, y los cargos requeridos para su adecuado funcionamiento. Por tal razón, tal y como lo señaló esta Corte en la Sentencia C-527 de 1994, el legislador es el titular de la facultad de suprimir, fusionar y crear cargos en la Contraloría General de la República.</w:t>
      </w:r>
    </w:p>
    <w:p w14:paraId="3DE84DCC" w14:textId="77777777" w:rsidR="00363DC4" w:rsidRPr="00CA329C" w:rsidRDefault="00363DC4" w:rsidP="00363DC4">
      <w:pPr>
        <w:jc w:val="both"/>
        <w:rPr>
          <w:rFonts w:ascii="Bookman Old Style" w:hAnsi="Bookman Old Style"/>
          <w:lang w:val="es-ES"/>
        </w:rPr>
      </w:pPr>
    </w:p>
    <w:p w14:paraId="13FD5285"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w:t>
      </w:r>
      <w:r w:rsidRPr="00CA329C">
        <w:rPr>
          <w:rFonts w:ascii="Bookman Old Style" w:hAnsi="Bookman Old Style"/>
          <w:lang w:val="es-ES"/>
        </w:rPr>
        <w:tab/>
        <w:t>151. En suma, todo lo relacionado con la estructura, organización y planta de empleos de la Contraloría General de la República es un asunto que le corresponde regular al legislador mediante la expedición de leyes ordinarias que desarrollen las normas previstas en el artículo 267 de la Constitución Política o, cuando se cumplan los presupuestos previstos en el numeral 10 del artículo 150 de la Constitución Política, mediante el ejercicio de facultades extraordinarias con la expedición de decretos con fuerza de ley.</w:t>
      </w:r>
    </w:p>
    <w:p w14:paraId="1DF1FA8B" w14:textId="77777777" w:rsidR="00363DC4" w:rsidRPr="00CA329C" w:rsidRDefault="00363DC4" w:rsidP="00363DC4">
      <w:pPr>
        <w:jc w:val="both"/>
        <w:rPr>
          <w:rFonts w:ascii="Bookman Old Style" w:hAnsi="Bookman Old Style"/>
          <w:lang w:val="es-ES"/>
        </w:rPr>
      </w:pPr>
    </w:p>
    <w:p w14:paraId="6725692E"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w:t>
      </w:r>
      <w:r w:rsidRPr="00CA329C">
        <w:rPr>
          <w:rFonts w:ascii="Bookman Old Style" w:hAnsi="Bookman Old Style"/>
          <w:lang w:val="es-ES"/>
        </w:rPr>
        <w:tab/>
        <w:t>166. Así, entonces, se precisa que a través de una ley anual de presupuesto no se pueden decretar tributos, ingresos, gastos e inversiones públicas, crear fondos cuentas, así como tampoco se puede crear, fusionar o suprimir entidades públicas, señalar o modificar su estructura orgánica ni determinar su planta o crear empleos públicos.</w:t>
      </w:r>
    </w:p>
    <w:p w14:paraId="2140FCE1" w14:textId="77777777" w:rsidR="00363DC4" w:rsidRPr="00CA329C" w:rsidRDefault="00363DC4" w:rsidP="00363DC4">
      <w:pPr>
        <w:jc w:val="both"/>
        <w:rPr>
          <w:rFonts w:ascii="Bookman Old Style" w:hAnsi="Bookman Old Style"/>
          <w:lang w:val="es-ES"/>
        </w:rPr>
      </w:pPr>
    </w:p>
    <w:p w14:paraId="5531FE2E" w14:textId="4EEE0100" w:rsidR="00363DC4" w:rsidRPr="00CA329C" w:rsidRDefault="00363DC4" w:rsidP="00363DC4">
      <w:pPr>
        <w:jc w:val="both"/>
        <w:rPr>
          <w:rFonts w:ascii="Bookman Old Style" w:hAnsi="Bookman Old Style"/>
          <w:i/>
          <w:iCs/>
          <w:lang w:val="es-ES"/>
        </w:rPr>
      </w:pPr>
      <w:r w:rsidRPr="00CA329C">
        <w:rPr>
          <w:rFonts w:ascii="Bookman Old Style" w:hAnsi="Bookman Old Style"/>
          <w:lang w:val="es-ES"/>
        </w:rPr>
        <w:t>-</w:t>
      </w:r>
      <w:r w:rsidRPr="00CA329C">
        <w:rPr>
          <w:rFonts w:ascii="Bookman Old Style" w:hAnsi="Bookman Old Style"/>
          <w:lang w:val="es-ES"/>
        </w:rPr>
        <w:tab/>
        <w:t xml:space="preserve">171. Así, entonces, en concordancia con lo anteriormente expuesto para el sistema presupuestal ordinario y conforme a las reglas constitucionales y orgánicas especiales del régimen presupuestal del Sistema General de regalías, a través de ellas tampoco se pueden crear, fusionar o suprimir entidades públicas, señalar o modificar su estructura orgánica y determinar su planta de empleos. </w:t>
      </w:r>
      <w:r w:rsidRPr="00CA329C">
        <w:rPr>
          <w:rFonts w:ascii="Bookman Old Style" w:hAnsi="Bookman Old Style"/>
          <w:i/>
          <w:iCs/>
          <w:lang w:val="es-ES"/>
        </w:rPr>
        <w:t xml:space="preserve">Complementariamente, si el legislador no tiene competencia para </w:t>
      </w:r>
      <w:r w:rsidRPr="00CA329C">
        <w:rPr>
          <w:rFonts w:ascii="Bookman Old Style" w:hAnsi="Bookman Old Style"/>
          <w:i/>
          <w:iCs/>
          <w:lang w:val="es-ES"/>
        </w:rPr>
        <w:lastRenderedPageBreak/>
        <w:t xml:space="preserve">dictar este tipo de normas en una ley bianual de presupuesto, tampoco a través de ellas puede conferir, revestir o diputar facultades -que no tiene- al </w:t>
      </w:r>
      <w:proofErr w:type="gramStart"/>
      <w:r w:rsidR="00147247" w:rsidRPr="00CA329C">
        <w:rPr>
          <w:rFonts w:ascii="Bookman Old Style" w:hAnsi="Bookman Old Style"/>
          <w:i/>
          <w:iCs/>
          <w:lang w:val="es-ES"/>
        </w:rPr>
        <w:t>Presidente</w:t>
      </w:r>
      <w:proofErr w:type="gramEnd"/>
      <w:r w:rsidR="00147247" w:rsidRPr="00CA329C">
        <w:rPr>
          <w:rFonts w:ascii="Bookman Old Style" w:hAnsi="Bookman Old Style"/>
          <w:i/>
          <w:iCs/>
          <w:lang w:val="es-ES"/>
        </w:rPr>
        <w:t xml:space="preserve"> de la </w:t>
      </w:r>
      <w:r w:rsidR="005476A5" w:rsidRPr="00CA329C">
        <w:rPr>
          <w:rFonts w:ascii="Bookman Old Style" w:hAnsi="Bookman Old Style"/>
          <w:i/>
          <w:iCs/>
          <w:lang w:val="es-ES"/>
        </w:rPr>
        <w:t>República para</w:t>
      </w:r>
      <w:r w:rsidRPr="00CA329C">
        <w:rPr>
          <w:rFonts w:ascii="Bookman Old Style" w:hAnsi="Bookman Old Style"/>
          <w:i/>
          <w:iCs/>
          <w:lang w:val="es-ES"/>
        </w:rPr>
        <w:t xml:space="preserve"> los mismos efectos.</w:t>
      </w:r>
    </w:p>
    <w:p w14:paraId="79F11E9F" w14:textId="77777777" w:rsidR="00363DC4" w:rsidRPr="00CA329C" w:rsidRDefault="00363DC4" w:rsidP="00363DC4">
      <w:pPr>
        <w:jc w:val="both"/>
        <w:rPr>
          <w:rFonts w:ascii="Bookman Old Style" w:hAnsi="Bookman Old Style"/>
          <w:lang w:val="es-ES"/>
        </w:rPr>
      </w:pPr>
    </w:p>
    <w:p w14:paraId="3230B9E4" w14:textId="6F660218" w:rsidR="00363DC4" w:rsidRPr="00CA329C" w:rsidRDefault="00C74D3E" w:rsidP="00C74D3E">
      <w:pPr>
        <w:pStyle w:val="Prrafodelista"/>
        <w:numPr>
          <w:ilvl w:val="0"/>
          <w:numId w:val="9"/>
        </w:numPr>
        <w:ind w:left="0" w:firstLine="0"/>
        <w:jc w:val="both"/>
        <w:rPr>
          <w:rFonts w:ascii="Bookman Old Style" w:hAnsi="Bookman Old Style"/>
          <w:lang w:val="es-ES"/>
        </w:rPr>
      </w:pPr>
      <w:r w:rsidRPr="00CA329C">
        <w:rPr>
          <w:rFonts w:ascii="Bookman Old Style" w:hAnsi="Bookman Old Style"/>
          <w:lang w:val="es-ES"/>
        </w:rPr>
        <w:t xml:space="preserve">190. (…) </w:t>
      </w:r>
      <w:r w:rsidR="00363DC4" w:rsidRPr="00CA329C">
        <w:rPr>
          <w:rFonts w:ascii="Bookman Old Style" w:hAnsi="Bookman Old Style"/>
          <w:lang w:val="es-ES"/>
        </w:rPr>
        <w:t>La Corte entiende entonces que no basta que una norma tenga una cierta conexidad con la ejecución presupuestal para que ella pueda ser incluida como una disposición general en una ley anual. Es necesario que exista una conexidad instrumental estricta, esto es, que sólo pueden incluirse dentro de la ley anual aquellas disposiciones que se encuentren rigurosamente relacionadas con la búsqueda de una correcta ejecución del presupuesto en la vigencia fiscal respectiva y, siempre y cuando el contenido de las normas no desborde el campo de lo estrictamente presupuestal.</w:t>
      </w:r>
    </w:p>
    <w:p w14:paraId="12582AAF" w14:textId="77777777" w:rsidR="00363DC4" w:rsidRPr="00CA329C" w:rsidRDefault="00363DC4" w:rsidP="00363DC4">
      <w:pPr>
        <w:jc w:val="both"/>
        <w:rPr>
          <w:rFonts w:ascii="Bookman Old Style" w:hAnsi="Bookman Old Style"/>
          <w:lang w:val="es-ES"/>
        </w:rPr>
      </w:pPr>
    </w:p>
    <w:p w14:paraId="5B6A40A8" w14:textId="56ABDDFA" w:rsidR="00363DC4" w:rsidRPr="00CA329C" w:rsidRDefault="00363DC4" w:rsidP="00363DC4">
      <w:pPr>
        <w:jc w:val="both"/>
        <w:rPr>
          <w:rFonts w:ascii="Bookman Old Style" w:hAnsi="Bookman Old Style"/>
          <w:lang w:val="es-ES"/>
        </w:rPr>
      </w:pPr>
      <w:r w:rsidRPr="00CA329C">
        <w:rPr>
          <w:rFonts w:ascii="Bookman Old Style" w:hAnsi="Bookman Old Style"/>
          <w:lang w:val="es-ES"/>
        </w:rPr>
        <w:t>-</w:t>
      </w:r>
      <w:r w:rsidRPr="00CA329C">
        <w:rPr>
          <w:rFonts w:ascii="Bookman Old Style" w:hAnsi="Bookman Old Style"/>
          <w:lang w:val="es-ES"/>
        </w:rPr>
        <w:tab/>
        <w:t xml:space="preserve">200. En este diseño normativo, la Corte no encuentra que los gastos de funcionamiento previstos en la norma acusada para atender las dependencias y la nómina allí prevista tengan que ver con el uso de los ingresos para los gastos y apropiaciones del Sistema General de Regalías en los precisos términos atrás ya señalados de manera profusa. Es cierto </w:t>
      </w:r>
      <w:r w:rsidR="00B66149" w:rsidRPr="00CA329C">
        <w:rPr>
          <w:rFonts w:ascii="Bookman Old Style" w:hAnsi="Bookman Old Style"/>
          <w:lang w:val="es-ES"/>
        </w:rPr>
        <w:t>que,</w:t>
      </w:r>
      <w:r w:rsidRPr="00CA329C">
        <w:rPr>
          <w:rFonts w:ascii="Bookman Old Style" w:hAnsi="Bookman Old Style"/>
          <w:lang w:val="es-ES"/>
        </w:rPr>
        <w:t xml:space="preserve"> en atención a la competencia de la Contraloría General de la República para ejercer control y vigilancia fiscal sobre los recursos de regalías, se deben prever los que la ley ordena y trasladarlos a ese órgano de control, sin que ello comporte en la ley de presupuesto bianual la creación de dependencias, plantas de personal y cargos temporales o transitorios, porque ello no corresponde a este tipo de normas presupuestales.</w:t>
      </w:r>
    </w:p>
    <w:p w14:paraId="163F5901" w14:textId="77777777" w:rsidR="00363DC4" w:rsidRPr="00CA329C" w:rsidRDefault="00363DC4" w:rsidP="00363DC4">
      <w:pPr>
        <w:jc w:val="both"/>
        <w:rPr>
          <w:rFonts w:ascii="Bookman Old Style" w:hAnsi="Bookman Old Style"/>
          <w:lang w:val="es-ES"/>
        </w:rPr>
      </w:pPr>
    </w:p>
    <w:p w14:paraId="17464B64"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w:t>
      </w:r>
      <w:r w:rsidRPr="00CA329C">
        <w:rPr>
          <w:rFonts w:ascii="Bookman Old Style" w:hAnsi="Bookman Old Style"/>
          <w:lang w:val="es-ES"/>
        </w:rPr>
        <w:tab/>
        <w:t xml:space="preserve">202. </w:t>
      </w:r>
      <w:r w:rsidRPr="00CA329C">
        <w:rPr>
          <w:rFonts w:ascii="Bookman Old Style" w:hAnsi="Bookman Old Style"/>
          <w:b/>
          <w:bCs/>
          <w:lang w:val="es-ES"/>
        </w:rPr>
        <w:t>A partir de lo anterior, no existe conexidad temática, pues el control y vigilancia a cargo de la Contraloría no depende directamente del personal que en el marco de su planta esté destinado con tal pretensión, así como tampoco se cumple con el requisito de conexidad instrumental,</w:t>
      </w:r>
      <w:r w:rsidRPr="00CA329C">
        <w:rPr>
          <w:rFonts w:ascii="Bookman Old Style" w:hAnsi="Bookman Old Style"/>
          <w:lang w:val="es-ES"/>
        </w:rPr>
        <w:t xml:space="preserve"> pues el ejercicio de la función de control fiscal no tiene entre sus objetivos “fortalecer la transparencia, participación ciudadana y buen gobierno” del sistema general de regalías, objetivo que sí debe ser cumplido por el Sistema de Monitoreo, Seguimiento, Control y Evaluación de Regalías (SMSCE), que es el conjunto de actores, normas, procedimientos administrativos y actividades que tienen como finalidad velar por el uso eficiente y eficaz de los recursos del Sistema General de Regalías, que se desarrolla de manera selectiva, con énfasis en acciones preventivas, sin perjuicio de las funciones que correspondan a las autoridades competentes en materia de inspección, vigilancia y control fiscal o disciplinario y, de investigación, acusación y juzgamiento de carácter penal.</w:t>
      </w:r>
    </w:p>
    <w:p w14:paraId="30B8A707" w14:textId="571ADDEB" w:rsidR="00363DC4" w:rsidRPr="00CA329C" w:rsidRDefault="00363DC4" w:rsidP="00363DC4">
      <w:pPr>
        <w:rPr>
          <w:rFonts w:ascii="Bookman Old Style" w:hAnsi="Bookman Old Style"/>
          <w:lang w:val="es-ES"/>
        </w:rPr>
      </w:pPr>
      <w:r w:rsidRPr="00CA329C">
        <w:rPr>
          <w:rFonts w:ascii="Bookman Old Style" w:hAnsi="Bookman Old Style"/>
          <w:lang w:val="es-ES"/>
        </w:rPr>
        <w:t xml:space="preserve">  </w:t>
      </w:r>
    </w:p>
    <w:p w14:paraId="36EC7B34" w14:textId="77777777" w:rsidR="00363DC4" w:rsidRPr="00CA329C" w:rsidRDefault="00363DC4" w:rsidP="00E37CA8">
      <w:pPr>
        <w:pStyle w:val="Prrafodelista"/>
        <w:numPr>
          <w:ilvl w:val="0"/>
          <w:numId w:val="1"/>
        </w:numPr>
        <w:ind w:left="426"/>
        <w:jc w:val="both"/>
        <w:rPr>
          <w:rFonts w:ascii="Bookman Old Style" w:hAnsi="Bookman Old Style"/>
          <w:lang w:val="es-ES"/>
        </w:rPr>
      </w:pPr>
      <w:r w:rsidRPr="00CA329C">
        <w:rPr>
          <w:rFonts w:ascii="Bookman Old Style" w:hAnsi="Bookman Old Style"/>
          <w:b/>
          <w:bCs/>
          <w:lang w:val="es-ES"/>
        </w:rPr>
        <w:lastRenderedPageBreak/>
        <w:t>Acto Legislativo 05 de 2019.</w:t>
      </w:r>
      <w:r w:rsidRPr="00CA329C">
        <w:rPr>
          <w:rFonts w:ascii="Bookman Old Style" w:hAnsi="Bookman Old Style"/>
          <w:lang w:val="es-ES"/>
        </w:rPr>
        <w:t xml:space="preserve"> Por el cual se modifica el artículo 361 de la Constitución Política y se dictan otras disposiciones sobre el Régimen de Regalías y Compensaciones.</w:t>
      </w:r>
    </w:p>
    <w:p w14:paraId="293F548E" w14:textId="77777777" w:rsidR="00363DC4" w:rsidRPr="00CA329C" w:rsidRDefault="00363DC4" w:rsidP="00363DC4">
      <w:pPr>
        <w:rPr>
          <w:rFonts w:ascii="Bookman Old Style" w:hAnsi="Bookman Old Style"/>
          <w:lang w:val="es-ES"/>
        </w:rPr>
      </w:pPr>
    </w:p>
    <w:p w14:paraId="7D9B9D2E" w14:textId="77777777" w:rsidR="00363DC4" w:rsidRPr="00CA329C" w:rsidRDefault="00363DC4" w:rsidP="00363DC4">
      <w:pPr>
        <w:jc w:val="both"/>
        <w:rPr>
          <w:rFonts w:ascii="Bookman Old Style" w:hAnsi="Bookman Old Style"/>
          <w:lang w:val="es-ES"/>
        </w:rPr>
      </w:pPr>
      <w:r w:rsidRPr="00CA329C">
        <w:rPr>
          <w:rFonts w:ascii="Bookman Old Style" w:hAnsi="Bookman Old Style"/>
          <w:lang w:val="es-ES"/>
        </w:rPr>
        <w:t>Establece que los ingresos corrientes del Sistema General de Regalías se destinarán a la financiación de proyectos de inversión que contribuyan al desarrollo social, económico, y ambiental de las entidades territoriales, igualmente determina cómo se distribuirán los recursos conforme a dichos propósitos.</w:t>
      </w:r>
    </w:p>
    <w:p w14:paraId="55E9E67F" w14:textId="77777777" w:rsidR="00363DC4" w:rsidRPr="00CA329C" w:rsidRDefault="00363DC4" w:rsidP="00363DC4">
      <w:pPr>
        <w:jc w:val="both"/>
        <w:rPr>
          <w:rFonts w:ascii="Bookman Old Style" w:hAnsi="Bookman Old Style"/>
          <w:lang w:val="es-ES"/>
        </w:rPr>
      </w:pPr>
    </w:p>
    <w:p w14:paraId="093C687D" w14:textId="1CE9E9AF"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En tal sentido, el citado artículo constitucional contempla la asignación del 1% de los ingresos corrientes del SGR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 En tal sentido, la propia carta política le reserva una asignación presupuestal a la CGR para garantizar el cumplimiento de sus funciones respecto del sistema.   </w:t>
      </w:r>
    </w:p>
    <w:p w14:paraId="0EF8AD1A" w14:textId="77777777" w:rsidR="00363DC4" w:rsidRPr="00CA329C" w:rsidRDefault="00363DC4" w:rsidP="00363DC4">
      <w:pPr>
        <w:rPr>
          <w:rFonts w:ascii="Bookman Old Style" w:hAnsi="Bookman Old Style"/>
          <w:b/>
          <w:bCs/>
          <w:lang w:val="es-ES"/>
        </w:rPr>
      </w:pPr>
    </w:p>
    <w:p w14:paraId="75156747" w14:textId="7ED0A720" w:rsidR="00363DC4" w:rsidRPr="00CA329C" w:rsidRDefault="00363DC4" w:rsidP="00363DC4">
      <w:pPr>
        <w:pStyle w:val="Prrafodelista"/>
        <w:numPr>
          <w:ilvl w:val="0"/>
          <w:numId w:val="1"/>
        </w:numPr>
        <w:rPr>
          <w:rFonts w:ascii="Bookman Old Style" w:hAnsi="Bookman Old Style"/>
          <w:lang w:val="es-ES"/>
        </w:rPr>
      </w:pPr>
      <w:r w:rsidRPr="00CA329C">
        <w:rPr>
          <w:rFonts w:ascii="Bookman Old Style" w:hAnsi="Bookman Old Style"/>
          <w:b/>
          <w:bCs/>
          <w:lang w:val="es-ES"/>
        </w:rPr>
        <w:t>Ley 2056 de 2020.</w:t>
      </w:r>
      <w:r w:rsidRPr="00CA329C">
        <w:rPr>
          <w:rFonts w:ascii="Bookman Old Style" w:hAnsi="Bookman Old Style"/>
          <w:lang w:val="es-ES"/>
        </w:rPr>
        <w:t xml:space="preserve"> Por la cual </w:t>
      </w:r>
      <w:r w:rsidR="00525942" w:rsidRPr="00CA329C">
        <w:rPr>
          <w:rFonts w:ascii="Bookman Old Style" w:hAnsi="Bookman Old Style"/>
          <w:lang w:val="es-ES"/>
        </w:rPr>
        <w:t>se regula la organización y el funcionamiento del</w:t>
      </w:r>
      <w:r w:rsidRPr="00CA329C">
        <w:rPr>
          <w:rFonts w:ascii="Bookman Old Style" w:hAnsi="Bookman Old Style"/>
          <w:lang w:val="es-ES"/>
        </w:rPr>
        <w:t xml:space="preserve"> Sistema General </w:t>
      </w:r>
      <w:r w:rsidR="00525942" w:rsidRPr="00CA329C">
        <w:rPr>
          <w:rFonts w:ascii="Bookman Old Style" w:hAnsi="Bookman Old Style"/>
          <w:lang w:val="es-ES"/>
        </w:rPr>
        <w:t>de</w:t>
      </w:r>
      <w:r w:rsidRPr="00CA329C">
        <w:rPr>
          <w:rFonts w:ascii="Bookman Old Style" w:hAnsi="Bookman Old Style"/>
          <w:lang w:val="es-ES"/>
        </w:rPr>
        <w:t xml:space="preserve"> Regalías.</w:t>
      </w:r>
    </w:p>
    <w:p w14:paraId="51280EC5" w14:textId="77777777" w:rsidR="00363DC4" w:rsidRPr="00CA329C" w:rsidRDefault="00363DC4" w:rsidP="00363DC4">
      <w:pPr>
        <w:rPr>
          <w:rFonts w:ascii="Bookman Old Style" w:hAnsi="Bookman Old Style"/>
          <w:lang w:val="es-ES"/>
        </w:rPr>
      </w:pPr>
    </w:p>
    <w:p w14:paraId="15C58D37" w14:textId="552F8AC5" w:rsidR="00685B55" w:rsidRPr="00CA329C" w:rsidRDefault="00685B55" w:rsidP="00363DC4">
      <w:pPr>
        <w:jc w:val="both"/>
        <w:rPr>
          <w:rFonts w:ascii="Bookman Old Style" w:hAnsi="Bookman Old Style"/>
          <w:lang w:val="es-ES"/>
        </w:rPr>
      </w:pPr>
      <w:r w:rsidRPr="00CA329C">
        <w:rPr>
          <w:rFonts w:ascii="Bookman Old Style" w:hAnsi="Bookman Old Style"/>
          <w:lang w:val="es-ES"/>
        </w:rPr>
        <w:t>El artículo</w:t>
      </w:r>
      <w:r w:rsidRPr="00CA329C">
        <w:rPr>
          <w:rFonts w:ascii="Bookman Old Style" w:hAnsi="Bookman Old Style"/>
        </w:rPr>
        <w:t xml:space="preserve"> 22 </w:t>
      </w:r>
      <w:r w:rsidRPr="00CA329C">
        <w:rPr>
          <w:rFonts w:ascii="Bookman Old Style" w:hAnsi="Bookman Old Style"/>
          <w:lang w:val="es-ES"/>
        </w:rPr>
        <w:t xml:space="preserve">de la Ley desarrolla lo definido por los artículos 331 y 361 de la Constitución Política, </w:t>
      </w:r>
      <w:r w:rsidR="007A21CA" w:rsidRPr="00CA329C">
        <w:rPr>
          <w:rFonts w:ascii="Bookman Old Style" w:hAnsi="Bookman Old Style"/>
          <w:lang w:val="es-ES"/>
        </w:rPr>
        <w:t xml:space="preserve">señalando </w:t>
      </w:r>
      <w:r w:rsidRPr="00CA329C">
        <w:rPr>
          <w:rFonts w:ascii="Bookman Old Style" w:hAnsi="Bookman Old Style"/>
          <w:lang w:val="es-ES"/>
        </w:rPr>
        <w:t xml:space="preserve">que los recursos del Sistema General de Regalías se administrarán a través de un sistema de manejo de cuentas, el cual está conformado unas siguientes asignaciones, beneficiarios y conceptos de gasto establecidos por dicha Ley, </w:t>
      </w:r>
      <w:r w:rsidR="00412F6E" w:rsidRPr="00CA329C">
        <w:rPr>
          <w:rFonts w:ascii="Bookman Old Style" w:hAnsi="Bookman Old Style"/>
          <w:lang w:val="es-ES"/>
        </w:rPr>
        <w:t xml:space="preserve">realizando </w:t>
      </w:r>
      <w:r w:rsidRPr="00CA329C">
        <w:rPr>
          <w:rFonts w:ascii="Bookman Old Style" w:hAnsi="Bookman Old Style"/>
          <w:lang w:val="es-ES"/>
        </w:rPr>
        <w:t xml:space="preserve">en su numeral 8º </w:t>
      </w:r>
      <w:r w:rsidR="00412F6E" w:rsidRPr="00CA329C">
        <w:rPr>
          <w:rFonts w:ascii="Bookman Old Style" w:hAnsi="Bookman Old Style"/>
          <w:lang w:val="es-ES"/>
        </w:rPr>
        <w:t xml:space="preserve">la siguiente asignación: </w:t>
      </w:r>
      <w:r w:rsidRPr="00CA329C">
        <w:rPr>
          <w:rFonts w:ascii="Bookman Old Style" w:hAnsi="Bookman Old Style"/>
          <w:i/>
          <w:iCs/>
        </w:rPr>
        <w:t>“</w:t>
      </w:r>
      <w:r w:rsidRPr="00CA329C">
        <w:rPr>
          <w:rFonts w:ascii="Bookman Old Style" w:hAnsi="Bookman Old Style"/>
          <w:i/>
          <w:iCs/>
          <w:lang w:val="es-ES"/>
        </w:rPr>
        <w:t>1% Para la operatividad del Sistema de Seguimiento, Evaluación y Control; de este la mitad se destinará a la Contraloría General de la República”</w:t>
      </w:r>
      <w:r w:rsidRPr="00CA329C">
        <w:rPr>
          <w:rFonts w:ascii="Bookman Old Style" w:hAnsi="Bookman Old Style"/>
          <w:lang w:val="es-ES"/>
        </w:rPr>
        <w:t>.</w:t>
      </w:r>
    </w:p>
    <w:p w14:paraId="0E4ECEEF" w14:textId="77777777" w:rsidR="007A21CA" w:rsidRPr="00CA329C" w:rsidRDefault="007A21CA" w:rsidP="00363DC4">
      <w:pPr>
        <w:jc w:val="both"/>
        <w:rPr>
          <w:rFonts w:ascii="Bookman Old Style" w:hAnsi="Bookman Old Style"/>
          <w:lang w:val="es-ES"/>
        </w:rPr>
      </w:pPr>
    </w:p>
    <w:p w14:paraId="586DC56E" w14:textId="4B8FC224" w:rsidR="007A21CA" w:rsidRPr="00CA329C" w:rsidRDefault="007A21CA" w:rsidP="00363DC4">
      <w:pPr>
        <w:jc w:val="both"/>
        <w:rPr>
          <w:rFonts w:ascii="Bookman Old Style" w:hAnsi="Bookman Old Style"/>
          <w:lang w:val="es-ES"/>
        </w:rPr>
      </w:pPr>
      <w:r w:rsidRPr="00CA329C">
        <w:rPr>
          <w:rFonts w:ascii="Bookman Old Style" w:hAnsi="Bookman Old Style"/>
          <w:lang w:val="es-ES"/>
        </w:rPr>
        <w:t>En el mismo sentido, el parágrafo 1º del artículo 183 de la Ley 2056 dispone que, la Contraloría General de la República para garantizar el adecuado ejercicio de las funciones de vigilancia y control fiscal de que trata el artículo</w:t>
      </w:r>
      <w:r w:rsidR="00412F6E" w:rsidRPr="00CA329C">
        <w:rPr>
          <w:rFonts w:ascii="Bookman Old Style" w:hAnsi="Bookman Old Style"/>
          <w:lang w:val="es-ES"/>
        </w:rPr>
        <w:t xml:space="preserve"> 183</w:t>
      </w:r>
      <w:r w:rsidRPr="00CA329C">
        <w:rPr>
          <w:rFonts w:ascii="Bookman Old Style" w:hAnsi="Bookman Old Style"/>
          <w:lang w:val="es-ES"/>
        </w:rPr>
        <w:t>, podrá contar con una planta temporal, financiada con el porcentaje de recursos asignado en el artículo 361 de la Constitución y los que se asignen de los recursos de funcionamiento del Sistema General de Regalías.</w:t>
      </w:r>
    </w:p>
    <w:p w14:paraId="52D19C66" w14:textId="77777777" w:rsidR="00685B55" w:rsidRPr="00CA329C" w:rsidRDefault="00685B55" w:rsidP="00363DC4">
      <w:pPr>
        <w:jc w:val="both"/>
        <w:rPr>
          <w:rFonts w:ascii="Bookman Old Style" w:hAnsi="Bookman Old Style"/>
          <w:lang w:val="es-ES"/>
        </w:rPr>
      </w:pPr>
    </w:p>
    <w:p w14:paraId="08CB7EB3" w14:textId="2CE19635"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El artículo 183 de la Ley </w:t>
      </w:r>
      <w:r w:rsidR="00685B55" w:rsidRPr="00CA329C">
        <w:rPr>
          <w:rFonts w:ascii="Bookman Old Style" w:hAnsi="Bookman Old Style"/>
          <w:lang w:val="es-ES"/>
        </w:rPr>
        <w:t xml:space="preserve">2056 </w:t>
      </w:r>
      <w:r w:rsidRPr="00CA329C">
        <w:rPr>
          <w:rFonts w:ascii="Bookman Old Style" w:hAnsi="Bookman Old Style"/>
          <w:lang w:val="es-ES"/>
        </w:rPr>
        <w:t xml:space="preserve">establece disposiciones relacionadas con las funciones de control fiscal y disciplinario de la Contraloría General </w:t>
      </w:r>
      <w:r w:rsidR="00297FE4" w:rsidRPr="00CA329C">
        <w:rPr>
          <w:rFonts w:ascii="Bookman Old Style" w:hAnsi="Bookman Old Style"/>
          <w:lang w:val="es-ES"/>
        </w:rPr>
        <w:t xml:space="preserve">de la República </w:t>
      </w:r>
      <w:r w:rsidRPr="00CA329C">
        <w:rPr>
          <w:rFonts w:ascii="Bookman Old Style" w:hAnsi="Bookman Old Style"/>
          <w:lang w:val="es-ES"/>
        </w:rPr>
        <w:t>y la Procuraduría</w:t>
      </w:r>
      <w:r w:rsidR="00297FE4" w:rsidRPr="00CA329C">
        <w:rPr>
          <w:rFonts w:ascii="Bookman Old Style" w:hAnsi="Bookman Old Style"/>
        </w:rPr>
        <w:t xml:space="preserve"> </w:t>
      </w:r>
      <w:r w:rsidR="00297FE4" w:rsidRPr="00CA329C">
        <w:rPr>
          <w:rFonts w:ascii="Bookman Old Style" w:hAnsi="Bookman Old Style"/>
          <w:lang w:val="es-ES"/>
        </w:rPr>
        <w:t>General de la Nación</w:t>
      </w:r>
      <w:r w:rsidRPr="00CA329C">
        <w:rPr>
          <w:rFonts w:ascii="Bookman Old Style" w:hAnsi="Bookman Old Style"/>
          <w:lang w:val="es-ES"/>
        </w:rPr>
        <w:t>, respectivamente. Para El primer caso</w:t>
      </w:r>
      <w:r w:rsidR="00412F6E" w:rsidRPr="00CA329C">
        <w:rPr>
          <w:rFonts w:ascii="Bookman Old Style" w:hAnsi="Bookman Old Style"/>
          <w:lang w:val="es-ES"/>
        </w:rPr>
        <w:t>,</w:t>
      </w:r>
      <w:r w:rsidRPr="00CA329C">
        <w:rPr>
          <w:rFonts w:ascii="Bookman Old Style" w:hAnsi="Bookman Old Style"/>
          <w:lang w:val="es-ES"/>
        </w:rPr>
        <w:t xml:space="preserve"> </w:t>
      </w:r>
      <w:r w:rsidR="00412F6E" w:rsidRPr="00CA329C">
        <w:rPr>
          <w:rFonts w:ascii="Bookman Old Style" w:hAnsi="Bookman Old Style"/>
          <w:lang w:val="es-ES"/>
        </w:rPr>
        <w:t xml:space="preserve">como ya se indició, </w:t>
      </w:r>
      <w:r w:rsidRPr="00CA329C">
        <w:rPr>
          <w:rFonts w:ascii="Bookman Old Style" w:hAnsi="Bookman Old Style"/>
          <w:lang w:val="es-ES"/>
        </w:rPr>
        <w:t xml:space="preserve">faculta a la CGR a establecer una planta temporal. </w:t>
      </w:r>
      <w:r w:rsidR="00412F6E" w:rsidRPr="00CA329C">
        <w:rPr>
          <w:rFonts w:ascii="Bookman Old Style" w:hAnsi="Bookman Old Style"/>
          <w:lang w:val="es-ES"/>
        </w:rPr>
        <w:t xml:space="preserve">A la vez que, </w:t>
      </w:r>
      <w:r w:rsidRPr="00CA329C">
        <w:rPr>
          <w:rFonts w:ascii="Bookman Old Style" w:hAnsi="Bookman Old Style"/>
          <w:lang w:val="es-ES"/>
        </w:rPr>
        <w:t>prorroga la planta decretada en 2018 por la Ley 1942 hasta el 31 de diciembre de 2022</w:t>
      </w:r>
      <w:r w:rsidR="00B66149" w:rsidRPr="00CA329C">
        <w:rPr>
          <w:rFonts w:ascii="Bookman Old Style" w:hAnsi="Bookman Old Style"/>
          <w:lang w:val="es-ES"/>
        </w:rPr>
        <w:t xml:space="preserve">. </w:t>
      </w:r>
      <w:r w:rsidRPr="00CA329C">
        <w:rPr>
          <w:rFonts w:ascii="Bookman Old Style" w:hAnsi="Bookman Old Style"/>
          <w:lang w:val="es-ES"/>
        </w:rPr>
        <w:t xml:space="preserve"> </w:t>
      </w:r>
      <w:r w:rsidR="00B66149" w:rsidRPr="00CA329C">
        <w:rPr>
          <w:rFonts w:ascii="Bookman Old Style" w:hAnsi="Bookman Old Style"/>
          <w:lang w:val="es-ES"/>
        </w:rPr>
        <w:t xml:space="preserve">Es </w:t>
      </w:r>
      <w:r w:rsidRPr="00CA329C">
        <w:rPr>
          <w:rFonts w:ascii="Bookman Old Style" w:hAnsi="Bookman Old Style"/>
          <w:lang w:val="es-ES"/>
        </w:rPr>
        <w:t xml:space="preserve">importante aclarar que para el momento </w:t>
      </w:r>
      <w:r w:rsidRPr="00CA329C">
        <w:rPr>
          <w:rFonts w:ascii="Bookman Old Style" w:hAnsi="Bookman Old Style"/>
          <w:lang w:val="es-ES"/>
        </w:rPr>
        <w:lastRenderedPageBreak/>
        <w:t xml:space="preserve">no se conocían los efectos de la </w:t>
      </w:r>
      <w:r w:rsidR="007729F5" w:rsidRPr="00CA329C">
        <w:rPr>
          <w:rFonts w:ascii="Bookman Old Style" w:hAnsi="Bookman Old Style"/>
          <w:lang w:val="es-ES"/>
        </w:rPr>
        <w:t>S</w:t>
      </w:r>
      <w:r w:rsidRPr="00CA329C">
        <w:rPr>
          <w:rFonts w:ascii="Bookman Old Style" w:hAnsi="Bookman Old Style"/>
          <w:lang w:val="es-ES"/>
        </w:rPr>
        <w:t xml:space="preserve">entencia </w:t>
      </w:r>
      <w:r w:rsidR="007729F5" w:rsidRPr="00CA329C">
        <w:rPr>
          <w:rFonts w:ascii="Bookman Old Style" w:hAnsi="Bookman Old Style"/>
          <w:lang w:val="es-ES"/>
        </w:rPr>
        <w:t xml:space="preserve">C-483 de 2020 </w:t>
      </w:r>
      <w:r w:rsidRPr="00CA329C">
        <w:rPr>
          <w:rFonts w:ascii="Bookman Old Style" w:hAnsi="Bookman Old Style"/>
          <w:lang w:val="es-ES"/>
        </w:rPr>
        <w:t>que decreto la inconstitucionalidad de la planta temporal</w:t>
      </w:r>
      <w:r w:rsidR="00094449" w:rsidRPr="00CA329C">
        <w:rPr>
          <w:rFonts w:ascii="Bookman Old Style" w:hAnsi="Bookman Old Style"/>
        </w:rPr>
        <w:t xml:space="preserve"> </w:t>
      </w:r>
      <w:r w:rsidR="00094449" w:rsidRPr="00CA329C">
        <w:rPr>
          <w:rFonts w:ascii="Bookman Old Style" w:hAnsi="Bookman Old Style"/>
          <w:lang w:val="es-ES"/>
        </w:rPr>
        <w:t>del artículo 38 de la Ley 1942 de 2018</w:t>
      </w:r>
      <w:r w:rsidR="00B66149" w:rsidRPr="00CA329C">
        <w:rPr>
          <w:rFonts w:ascii="Bookman Old Style" w:hAnsi="Bookman Old Style"/>
          <w:lang w:val="es-ES"/>
        </w:rPr>
        <w:t xml:space="preserve">. </w:t>
      </w:r>
    </w:p>
    <w:p w14:paraId="01C8586C" w14:textId="77777777" w:rsidR="00363DC4" w:rsidRPr="00CA329C" w:rsidRDefault="00363DC4" w:rsidP="00363DC4">
      <w:pPr>
        <w:jc w:val="both"/>
        <w:rPr>
          <w:rFonts w:ascii="Bookman Old Style" w:hAnsi="Bookman Old Style"/>
          <w:lang w:val="es-ES"/>
        </w:rPr>
      </w:pPr>
    </w:p>
    <w:p w14:paraId="7DF4CDF8" w14:textId="654C30BD"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Igualmente se revistió al </w:t>
      </w:r>
      <w:proofErr w:type="gramStart"/>
      <w:r w:rsidR="00147247" w:rsidRPr="00CA329C">
        <w:rPr>
          <w:rFonts w:ascii="Bookman Old Style" w:hAnsi="Bookman Old Style"/>
          <w:lang w:val="es-ES"/>
        </w:rPr>
        <w:t>Presidente</w:t>
      </w:r>
      <w:proofErr w:type="gramEnd"/>
      <w:r w:rsidR="00147247" w:rsidRPr="00CA329C">
        <w:rPr>
          <w:rFonts w:ascii="Bookman Old Style" w:hAnsi="Bookman Old Style"/>
          <w:lang w:val="es-ES"/>
        </w:rPr>
        <w:t xml:space="preserve"> de la República</w:t>
      </w:r>
      <w:r w:rsidRPr="00CA329C">
        <w:rPr>
          <w:rFonts w:ascii="Bookman Old Style" w:hAnsi="Bookman Old Style"/>
          <w:lang w:val="es-ES"/>
        </w:rPr>
        <w:t xml:space="preserve"> de precisas facultades extraordinarias en el artículo 183 para suprimir, modificar, refundir o crear empleos en la planta de global de duración temporal de la Contraloría General de la República.</w:t>
      </w:r>
    </w:p>
    <w:p w14:paraId="338E9FC7" w14:textId="77777777" w:rsidR="00363DC4" w:rsidRPr="00CA329C" w:rsidRDefault="00363DC4" w:rsidP="00363DC4">
      <w:pPr>
        <w:rPr>
          <w:rFonts w:ascii="Bookman Old Style" w:hAnsi="Bookman Old Style"/>
          <w:lang w:val="es-ES"/>
        </w:rPr>
      </w:pPr>
    </w:p>
    <w:p w14:paraId="5D324CD0" w14:textId="36F6B96C" w:rsidR="00094449" w:rsidRPr="00CA329C" w:rsidRDefault="00094449" w:rsidP="00094449">
      <w:pPr>
        <w:jc w:val="both"/>
        <w:rPr>
          <w:rFonts w:ascii="Bookman Old Style" w:hAnsi="Bookman Old Style"/>
          <w:lang w:val="es-ES"/>
        </w:rPr>
      </w:pPr>
      <w:r w:rsidRPr="00CA329C">
        <w:rPr>
          <w:rFonts w:ascii="Bookman Old Style" w:hAnsi="Bookman Old Style"/>
          <w:lang w:val="es-ES"/>
        </w:rPr>
        <w:t xml:space="preserve">En ese orden, en la Sentencia C-483 de 2020 previo a declarar la inconstitucionalidad de la planta temporal del artículo 38 de la Ley 1942 de 2018, la Corte Constitucional preciso: </w:t>
      </w:r>
    </w:p>
    <w:p w14:paraId="748BE591" w14:textId="77777777" w:rsidR="00094449" w:rsidRPr="00CA329C" w:rsidRDefault="00094449" w:rsidP="00363DC4">
      <w:pPr>
        <w:rPr>
          <w:rFonts w:ascii="Bookman Old Style" w:hAnsi="Bookman Old Style"/>
          <w:lang w:val="es-ES"/>
        </w:rPr>
      </w:pPr>
    </w:p>
    <w:p w14:paraId="0CBC0365" w14:textId="67243ED8" w:rsidR="00094449" w:rsidRPr="00CA329C" w:rsidRDefault="00094449" w:rsidP="00094449">
      <w:pPr>
        <w:pStyle w:val="Prrafodelista"/>
        <w:numPr>
          <w:ilvl w:val="0"/>
          <w:numId w:val="9"/>
        </w:numPr>
        <w:ind w:left="0" w:firstLine="0"/>
        <w:jc w:val="both"/>
        <w:rPr>
          <w:rFonts w:ascii="Bookman Old Style" w:hAnsi="Bookman Old Style"/>
          <w:lang w:val="es-ES"/>
        </w:rPr>
      </w:pPr>
      <w:r w:rsidRPr="00CA329C">
        <w:rPr>
          <w:rFonts w:ascii="Bookman Old Style" w:hAnsi="Bookman Old Style"/>
          <w:lang w:val="es-ES"/>
        </w:rPr>
        <w:t xml:space="preserve">257. Por último, la Corte decidió diferir los efectos de la </w:t>
      </w:r>
      <w:proofErr w:type="spellStart"/>
      <w:r w:rsidRPr="00CA329C">
        <w:rPr>
          <w:rFonts w:ascii="Bookman Old Style" w:hAnsi="Bookman Old Style"/>
          <w:lang w:val="es-ES"/>
        </w:rPr>
        <w:t>inexequibilidad</w:t>
      </w:r>
      <w:proofErr w:type="spellEnd"/>
      <w:r w:rsidRPr="00CA329C">
        <w:rPr>
          <w:rFonts w:ascii="Bookman Old Style" w:hAnsi="Bookman Old Style"/>
          <w:lang w:val="es-ES"/>
        </w:rPr>
        <w:t xml:space="preserve"> del artículo 38 de la Ley 1942 de 2018 hasta el 1 de enero de 2021, en razón a la afectación de que una declaratoria de </w:t>
      </w:r>
      <w:proofErr w:type="spellStart"/>
      <w:r w:rsidRPr="00CA329C">
        <w:rPr>
          <w:rFonts w:ascii="Bookman Old Style" w:hAnsi="Bookman Old Style"/>
          <w:lang w:val="es-ES"/>
        </w:rPr>
        <w:t>inexequibilidad</w:t>
      </w:r>
      <w:proofErr w:type="spellEnd"/>
      <w:r w:rsidRPr="00CA329C">
        <w:rPr>
          <w:rFonts w:ascii="Bookman Old Style" w:hAnsi="Bookman Old Style"/>
          <w:lang w:val="es-ES"/>
        </w:rPr>
        <w:t xml:space="preserve"> simple podría generar en el control fiscal de los recursos del Sistema General de Regalías y la estabilidad en el empleo de las personas vinculadas a la planta temporal creada mediante la norma acusada, tiempo durante el cual, el Presidente de la República podría ejercer las facultades extraordinarias conferidas por el parágrafo segundo del artículo 183 de la Ley 2056 de 2020.</w:t>
      </w:r>
    </w:p>
    <w:p w14:paraId="0B9B5FEA" w14:textId="77777777" w:rsidR="00094449" w:rsidRPr="00CA329C" w:rsidRDefault="00094449" w:rsidP="00363DC4">
      <w:pPr>
        <w:rPr>
          <w:rFonts w:ascii="Bookman Old Style" w:hAnsi="Bookman Old Style"/>
          <w:lang w:val="es-ES"/>
        </w:rPr>
      </w:pPr>
    </w:p>
    <w:p w14:paraId="01946971" w14:textId="77777777" w:rsidR="00363DC4" w:rsidRPr="00CA329C" w:rsidRDefault="00363DC4" w:rsidP="00363DC4">
      <w:pPr>
        <w:pStyle w:val="Prrafodelista"/>
        <w:numPr>
          <w:ilvl w:val="0"/>
          <w:numId w:val="1"/>
        </w:numPr>
        <w:rPr>
          <w:rFonts w:ascii="Bookman Old Style" w:hAnsi="Bookman Old Style"/>
          <w:lang w:val="es-ES"/>
        </w:rPr>
      </w:pPr>
      <w:r w:rsidRPr="00CA329C">
        <w:rPr>
          <w:rFonts w:ascii="Bookman Old Style" w:hAnsi="Bookman Old Style"/>
          <w:b/>
          <w:bCs/>
          <w:lang w:val="es-ES"/>
        </w:rPr>
        <w:t>Decreto-Ley 1755 de 2020.</w:t>
      </w:r>
      <w:r w:rsidRPr="00CA329C">
        <w:rPr>
          <w:rFonts w:ascii="Bookman Old Style" w:hAnsi="Bookman Old Style"/>
          <w:lang w:val="es-ES"/>
        </w:rPr>
        <w:t xml:space="preserve"> Por el cual se crean unos empleos en la planta global de duración temporal de la Contraloría General de la República para la vigilancia y control fiscal de los recursos del Sistema General de Regalías. </w:t>
      </w:r>
    </w:p>
    <w:p w14:paraId="359DC6DA" w14:textId="77777777" w:rsidR="00363DC4" w:rsidRPr="00CA329C" w:rsidRDefault="00363DC4" w:rsidP="00363DC4">
      <w:pPr>
        <w:rPr>
          <w:rFonts w:ascii="Bookman Old Style" w:hAnsi="Bookman Old Style"/>
          <w:lang w:val="es-ES"/>
        </w:rPr>
      </w:pPr>
    </w:p>
    <w:p w14:paraId="00E278E2" w14:textId="0F4FFD62"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Materializó las facultades de creación de la Planta temporal autorizadas en la Ley </w:t>
      </w:r>
      <w:r w:rsidR="003E36C9" w:rsidRPr="00CA329C">
        <w:rPr>
          <w:rFonts w:ascii="Bookman Old Style" w:hAnsi="Bookman Old Style"/>
          <w:lang w:val="es-ES"/>
        </w:rPr>
        <w:t>2056, solventando</w:t>
      </w:r>
      <w:r w:rsidR="00F30A7B" w:rsidRPr="00CA329C">
        <w:rPr>
          <w:rFonts w:ascii="Bookman Old Style" w:hAnsi="Bookman Old Style"/>
          <w:lang w:val="es-ES"/>
        </w:rPr>
        <w:t xml:space="preserve"> </w:t>
      </w:r>
      <w:r w:rsidRPr="00CA329C">
        <w:rPr>
          <w:rFonts w:ascii="Bookman Old Style" w:hAnsi="Bookman Old Style"/>
          <w:lang w:val="es-ES"/>
        </w:rPr>
        <w:t xml:space="preserve">los efectos del fallo C-483 de 2020, que excluyó del ordenamiento jurídico la planta creada en 2018. El Decreto-Ley </w:t>
      </w:r>
      <w:r w:rsidR="00153EB4" w:rsidRPr="00CA329C">
        <w:rPr>
          <w:rFonts w:ascii="Bookman Old Style" w:hAnsi="Bookman Old Style"/>
          <w:lang w:val="es-ES"/>
        </w:rPr>
        <w:t xml:space="preserve">creó una planta global de duración temporal desde el 1 de enero de 2021 hasta el 31 de diciembre de 2022 con </w:t>
      </w:r>
      <w:r w:rsidR="003E36C9" w:rsidRPr="00CA329C">
        <w:rPr>
          <w:rFonts w:ascii="Bookman Old Style" w:hAnsi="Bookman Old Style"/>
          <w:lang w:val="es-ES"/>
        </w:rPr>
        <w:t>340 cargos</w:t>
      </w:r>
      <w:r w:rsidRPr="00CA329C">
        <w:rPr>
          <w:rFonts w:ascii="Bookman Old Style" w:hAnsi="Bookman Old Style"/>
          <w:lang w:val="es-ES"/>
        </w:rPr>
        <w:t xml:space="preserve"> en la entidad de control.</w:t>
      </w:r>
    </w:p>
    <w:p w14:paraId="0B443352" w14:textId="77777777" w:rsidR="00363DC4" w:rsidRPr="00CA329C" w:rsidRDefault="00363DC4" w:rsidP="00363DC4">
      <w:pPr>
        <w:rPr>
          <w:rFonts w:ascii="Bookman Old Style" w:hAnsi="Bookman Old Style"/>
          <w:lang w:val="es-ES"/>
        </w:rPr>
      </w:pPr>
    </w:p>
    <w:p w14:paraId="527193A0" w14:textId="77777777" w:rsidR="00363DC4" w:rsidRPr="00CA329C" w:rsidRDefault="00363DC4" w:rsidP="00BF3C40">
      <w:pPr>
        <w:pStyle w:val="Prrafodelista"/>
        <w:numPr>
          <w:ilvl w:val="0"/>
          <w:numId w:val="1"/>
        </w:numPr>
        <w:jc w:val="both"/>
        <w:rPr>
          <w:rFonts w:ascii="Bookman Old Style" w:hAnsi="Bookman Old Style"/>
          <w:lang w:val="es-ES"/>
        </w:rPr>
      </w:pPr>
      <w:r w:rsidRPr="00CA329C">
        <w:rPr>
          <w:rFonts w:ascii="Bookman Old Style" w:hAnsi="Bookman Old Style"/>
          <w:b/>
          <w:bCs/>
          <w:lang w:val="es-ES"/>
        </w:rPr>
        <w:t>Ley 2072 de 2020</w:t>
      </w:r>
      <w:r w:rsidRPr="00CA329C">
        <w:rPr>
          <w:rFonts w:ascii="Bookman Old Style" w:hAnsi="Bookman Old Style"/>
          <w:lang w:val="es-ES"/>
        </w:rPr>
        <w:t>. Por la cual se decreta el Presupuesto del Sistema General de Regalías para el bienio del 1o de enero de 2021 al 31 de diciembre de 2022.</w:t>
      </w:r>
    </w:p>
    <w:p w14:paraId="6A39475D" w14:textId="77777777" w:rsidR="00363DC4" w:rsidRPr="00CA329C" w:rsidRDefault="00363DC4" w:rsidP="00363DC4">
      <w:pPr>
        <w:rPr>
          <w:rFonts w:ascii="Bookman Old Style" w:hAnsi="Bookman Old Style"/>
          <w:lang w:val="es-ES"/>
        </w:rPr>
      </w:pPr>
    </w:p>
    <w:p w14:paraId="3273A20A" w14:textId="06513318"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La Ley asignó a la CGR 77 mil 137 millones de pesos con ocasión a las disposiciones legales y constitucionales que indican que el 0.5% del presupuesto total del </w:t>
      </w:r>
      <w:r w:rsidR="006C264A" w:rsidRPr="00CA329C">
        <w:rPr>
          <w:rFonts w:ascii="Bookman Old Style" w:hAnsi="Bookman Old Style"/>
          <w:lang w:val="es-ES"/>
        </w:rPr>
        <w:t xml:space="preserve">Sistema de Seguimiento, Evaluación y Control </w:t>
      </w:r>
      <w:r w:rsidRPr="00CA329C">
        <w:rPr>
          <w:rFonts w:ascii="Bookman Old Style" w:hAnsi="Bookman Old Style"/>
          <w:lang w:val="es-ES"/>
        </w:rPr>
        <w:t xml:space="preserve">se destinaría por derecho propio a esta entidad de control. </w:t>
      </w:r>
    </w:p>
    <w:p w14:paraId="191C18A6" w14:textId="77777777" w:rsidR="00363DC4" w:rsidRPr="00CA329C" w:rsidRDefault="00363DC4" w:rsidP="00363DC4">
      <w:pPr>
        <w:jc w:val="both"/>
        <w:rPr>
          <w:rFonts w:ascii="Bookman Old Style" w:hAnsi="Bookman Old Style"/>
          <w:lang w:val="es-ES"/>
        </w:rPr>
      </w:pPr>
    </w:p>
    <w:p w14:paraId="21D09B1C" w14:textId="66D40C1F" w:rsidR="008E6A3A" w:rsidRPr="00CA329C" w:rsidRDefault="008E6A3A" w:rsidP="008E6A3A">
      <w:pPr>
        <w:pStyle w:val="Prrafodelista"/>
        <w:numPr>
          <w:ilvl w:val="0"/>
          <w:numId w:val="1"/>
        </w:numPr>
        <w:jc w:val="both"/>
        <w:rPr>
          <w:rFonts w:ascii="Bookman Old Style" w:hAnsi="Bookman Old Style"/>
          <w:lang w:val="es-ES"/>
        </w:rPr>
      </w:pPr>
      <w:r w:rsidRPr="00CA329C">
        <w:rPr>
          <w:rFonts w:ascii="Bookman Old Style" w:hAnsi="Bookman Old Style"/>
          <w:b/>
          <w:bCs/>
          <w:lang w:val="es-ES"/>
        </w:rPr>
        <w:lastRenderedPageBreak/>
        <w:t>Ley 2278 de 2022</w:t>
      </w:r>
      <w:r w:rsidRPr="00CA329C">
        <w:rPr>
          <w:rFonts w:ascii="Bookman Old Style" w:hAnsi="Bookman Old Style"/>
          <w:lang w:val="es-ES"/>
        </w:rPr>
        <w:t xml:space="preserve">. Por la cual se otorgan facultades extraordinarias al </w:t>
      </w:r>
      <w:proofErr w:type="gramStart"/>
      <w:r w:rsidRPr="00CA329C">
        <w:rPr>
          <w:rFonts w:ascii="Bookman Old Style" w:hAnsi="Bookman Old Style"/>
          <w:lang w:val="es-ES"/>
        </w:rPr>
        <w:t>Presidente</w:t>
      </w:r>
      <w:proofErr w:type="gramEnd"/>
      <w:r w:rsidRPr="00CA329C">
        <w:rPr>
          <w:rFonts w:ascii="Bookman Old Style" w:hAnsi="Bookman Old Style"/>
          <w:lang w:val="es-ES"/>
        </w:rPr>
        <w:t xml:space="preserve"> de la República con el fin de garantizar la continuidad a la Función Pública de Control Fiscal al Sistema General de Regalías en el bienio 2023-2024.</w:t>
      </w:r>
    </w:p>
    <w:p w14:paraId="228C9445" w14:textId="77777777" w:rsidR="008E6A3A" w:rsidRPr="00CA329C" w:rsidRDefault="008E6A3A" w:rsidP="00363DC4">
      <w:pPr>
        <w:jc w:val="both"/>
        <w:rPr>
          <w:rFonts w:ascii="Bookman Old Style" w:hAnsi="Bookman Old Style"/>
          <w:lang w:val="es-ES"/>
        </w:rPr>
      </w:pPr>
    </w:p>
    <w:p w14:paraId="369C5849" w14:textId="64194039" w:rsidR="008E6A3A" w:rsidRPr="00CA329C" w:rsidRDefault="008E6A3A" w:rsidP="008E6A3A">
      <w:pPr>
        <w:jc w:val="both"/>
        <w:rPr>
          <w:rFonts w:ascii="Bookman Old Style" w:hAnsi="Bookman Old Style"/>
          <w:lang w:val="es-ES"/>
        </w:rPr>
      </w:pPr>
      <w:r w:rsidRPr="00CA329C">
        <w:rPr>
          <w:rFonts w:ascii="Bookman Old Style" w:hAnsi="Bookman Old Style"/>
          <w:lang w:val="es-ES"/>
        </w:rPr>
        <w:t xml:space="preserve">Con el objeto dar continuidad a la función pública de control fiscal en el marco del Sistema General de Regalías, conforme lo establecido en el artículo 150, numeral 10, de la Constitución Política, se revistió al Presidente de la República de precisas facultades extraordinarias, con el objeto específico de suprimir, modificar, o crear empleos en la planta global de duración temporal de la Contraloría General de la República, de que trata el Decreto </w:t>
      </w:r>
      <w:r w:rsidR="005F7189" w:rsidRPr="00CA329C">
        <w:rPr>
          <w:rFonts w:ascii="Bookman Old Style" w:hAnsi="Bookman Old Style"/>
          <w:lang w:val="es-ES"/>
        </w:rPr>
        <w:t>L</w:t>
      </w:r>
      <w:r w:rsidRPr="00CA329C">
        <w:rPr>
          <w:rFonts w:ascii="Bookman Old Style" w:hAnsi="Bookman Old Style"/>
          <w:lang w:val="es-ES"/>
        </w:rPr>
        <w:t xml:space="preserve">ey 1755 de 2020, para ajustarla a las necesidades del servicio, el presupuesto asignado en la ley del Sistema General de Regalías del bienio 2023-2024 y el comportamiento efectivo del recaudo.  </w:t>
      </w:r>
    </w:p>
    <w:p w14:paraId="087D3D0A" w14:textId="77777777" w:rsidR="008E6A3A" w:rsidRPr="00CA329C" w:rsidRDefault="008E6A3A" w:rsidP="008E6A3A">
      <w:pPr>
        <w:jc w:val="both"/>
        <w:rPr>
          <w:rFonts w:ascii="Bookman Old Style" w:hAnsi="Bookman Old Style"/>
          <w:lang w:val="es-ES"/>
        </w:rPr>
      </w:pPr>
    </w:p>
    <w:p w14:paraId="583EB922" w14:textId="69EF3302" w:rsidR="008E6A3A" w:rsidRPr="00CA329C" w:rsidRDefault="00C850EC" w:rsidP="008E6A3A">
      <w:pPr>
        <w:jc w:val="both"/>
        <w:rPr>
          <w:rFonts w:ascii="Bookman Old Style" w:hAnsi="Bookman Old Style"/>
          <w:lang w:val="es-ES"/>
        </w:rPr>
      </w:pPr>
      <w:r w:rsidRPr="00CA329C">
        <w:rPr>
          <w:rFonts w:ascii="Bookman Old Style" w:hAnsi="Bookman Old Style"/>
          <w:lang w:val="es-ES"/>
        </w:rPr>
        <w:t>La m</w:t>
      </w:r>
      <w:r w:rsidR="008E6A3A" w:rsidRPr="00CA329C">
        <w:rPr>
          <w:rFonts w:ascii="Bookman Old Style" w:hAnsi="Bookman Old Style"/>
          <w:lang w:val="es-ES"/>
        </w:rPr>
        <w:t xml:space="preserve">odificación de la planta que </w:t>
      </w:r>
      <w:r w:rsidR="00DA563E" w:rsidRPr="00CA329C">
        <w:rPr>
          <w:rFonts w:ascii="Bookman Old Style" w:hAnsi="Bookman Old Style"/>
          <w:lang w:val="es-ES"/>
        </w:rPr>
        <w:t>estuvo</w:t>
      </w:r>
      <w:r w:rsidR="008E6A3A" w:rsidRPr="00CA329C">
        <w:rPr>
          <w:rFonts w:ascii="Bookman Old Style" w:hAnsi="Bookman Old Style"/>
          <w:lang w:val="es-ES"/>
        </w:rPr>
        <w:t xml:space="preserve"> soportada en un estudio técnico y se </w:t>
      </w:r>
      <w:r w:rsidR="00DA563E" w:rsidRPr="00CA329C">
        <w:rPr>
          <w:rFonts w:ascii="Bookman Old Style" w:hAnsi="Bookman Old Style"/>
          <w:lang w:val="es-ES"/>
        </w:rPr>
        <w:t>sujetó</w:t>
      </w:r>
      <w:r w:rsidR="008E6A3A" w:rsidRPr="00CA329C">
        <w:rPr>
          <w:rFonts w:ascii="Bookman Old Style" w:hAnsi="Bookman Old Style"/>
          <w:lang w:val="es-ES"/>
        </w:rPr>
        <w:t xml:space="preserve"> a la nomenclatura, clasificación, tipo de vinculación, régimen salarial y prestacional de los empleos de la planta permanente de la Contraloría General de la República.  </w:t>
      </w:r>
    </w:p>
    <w:p w14:paraId="2F9D9A0F" w14:textId="77777777" w:rsidR="00C340BA" w:rsidRPr="00CA329C" w:rsidRDefault="00C340BA" w:rsidP="008E6A3A">
      <w:pPr>
        <w:jc w:val="both"/>
        <w:rPr>
          <w:rFonts w:ascii="Bookman Old Style" w:hAnsi="Bookman Old Style"/>
          <w:lang w:val="es-ES"/>
        </w:rPr>
      </w:pPr>
    </w:p>
    <w:p w14:paraId="6A348A04" w14:textId="7E072FE2" w:rsidR="00C340BA" w:rsidRPr="00CA329C" w:rsidRDefault="00C340BA" w:rsidP="008E6A3A">
      <w:pPr>
        <w:jc w:val="both"/>
        <w:rPr>
          <w:rFonts w:ascii="Bookman Old Style" w:hAnsi="Bookman Old Style"/>
          <w:lang w:val="es-ES"/>
        </w:rPr>
      </w:pPr>
      <w:r w:rsidRPr="00CA329C">
        <w:rPr>
          <w:rFonts w:ascii="Bookman Old Style" w:hAnsi="Bookman Old Style"/>
          <w:lang w:val="es-ES"/>
        </w:rPr>
        <w:t xml:space="preserve">También se </w:t>
      </w:r>
      <w:r w:rsidR="00DA563E" w:rsidRPr="00CA329C">
        <w:rPr>
          <w:rFonts w:ascii="Bookman Old Style" w:hAnsi="Bookman Old Style"/>
          <w:lang w:val="es-ES"/>
        </w:rPr>
        <w:t>prorrogó</w:t>
      </w:r>
      <w:r w:rsidRPr="00CA329C">
        <w:rPr>
          <w:rFonts w:ascii="Bookman Old Style" w:hAnsi="Bookman Old Style"/>
          <w:lang w:val="es-ES"/>
        </w:rPr>
        <w:t xml:space="preserve"> el Decreto ley 1755 de 2020</w:t>
      </w:r>
      <w:r w:rsidR="002C48EC" w:rsidRPr="00CA329C">
        <w:rPr>
          <w:rFonts w:ascii="Bookman Old Style" w:hAnsi="Bookman Old Style"/>
          <w:lang w:val="es-ES"/>
        </w:rPr>
        <w:t xml:space="preserve">, y en consecuencia </w:t>
      </w:r>
      <w:r w:rsidR="00366024" w:rsidRPr="00CA329C">
        <w:rPr>
          <w:rFonts w:ascii="Bookman Old Style" w:hAnsi="Bookman Old Style"/>
          <w:lang w:val="es-ES"/>
        </w:rPr>
        <w:t>la planta</w:t>
      </w:r>
      <w:r w:rsidR="002C48EC" w:rsidRPr="00CA329C">
        <w:rPr>
          <w:rFonts w:ascii="Bookman Old Style" w:hAnsi="Bookman Old Style"/>
          <w:lang w:val="es-ES"/>
        </w:rPr>
        <w:t xml:space="preserve"> temporal allí establecida, </w:t>
      </w:r>
      <w:r w:rsidRPr="00CA329C">
        <w:rPr>
          <w:rFonts w:ascii="Bookman Old Style" w:hAnsi="Bookman Old Style"/>
          <w:lang w:val="es-ES"/>
        </w:rPr>
        <w:t xml:space="preserve">hasta tanto no se expida el decreto ley que desarrolle las facultades conferidas al </w:t>
      </w:r>
      <w:proofErr w:type="gramStart"/>
      <w:r w:rsidRPr="00CA329C">
        <w:rPr>
          <w:rFonts w:ascii="Bookman Old Style" w:hAnsi="Bookman Old Style"/>
          <w:lang w:val="es-ES"/>
        </w:rPr>
        <w:t>Presidente</w:t>
      </w:r>
      <w:proofErr w:type="gramEnd"/>
      <w:r w:rsidRPr="00CA329C">
        <w:rPr>
          <w:rFonts w:ascii="Bookman Old Style" w:hAnsi="Bookman Old Style"/>
          <w:lang w:val="es-ES"/>
        </w:rPr>
        <w:t xml:space="preserve"> de la República descritas en la Ley 2278 de 2022. </w:t>
      </w:r>
    </w:p>
    <w:p w14:paraId="342D0612" w14:textId="77777777" w:rsidR="00C340BA" w:rsidRPr="00CA329C" w:rsidRDefault="00C340BA" w:rsidP="00C340BA">
      <w:pPr>
        <w:jc w:val="both"/>
        <w:rPr>
          <w:rFonts w:ascii="Bookman Old Style" w:hAnsi="Bookman Old Style"/>
          <w:lang w:val="es-ES"/>
        </w:rPr>
      </w:pPr>
    </w:p>
    <w:p w14:paraId="1A8E7264" w14:textId="53779226" w:rsidR="009B06A0" w:rsidRPr="00CA329C" w:rsidRDefault="009B06A0" w:rsidP="00C94A51">
      <w:pPr>
        <w:pStyle w:val="Prrafodelista"/>
        <w:numPr>
          <w:ilvl w:val="0"/>
          <w:numId w:val="1"/>
        </w:numPr>
        <w:jc w:val="both"/>
        <w:rPr>
          <w:rFonts w:ascii="Bookman Old Style" w:hAnsi="Bookman Old Style"/>
          <w:lang w:val="es-ES"/>
        </w:rPr>
      </w:pPr>
      <w:r w:rsidRPr="00CA329C">
        <w:rPr>
          <w:rFonts w:ascii="Bookman Old Style" w:hAnsi="Bookman Old Style"/>
          <w:b/>
          <w:bCs/>
          <w:lang w:val="es-ES"/>
        </w:rPr>
        <w:t xml:space="preserve">Ley </w:t>
      </w:r>
      <w:r w:rsidR="00673057" w:rsidRPr="00CA329C">
        <w:rPr>
          <w:rFonts w:ascii="Bookman Old Style" w:hAnsi="Bookman Old Style"/>
          <w:b/>
          <w:bCs/>
          <w:lang w:val="es-ES"/>
        </w:rPr>
        <w:t>2279</w:t>
      </w:r>
      <w:r w:rsidRPr="00CA329C">
        <w:rPr>
          <w:rFonts w:ascii="Bookman Old Style" w:hAnsi="Bookman Old Style"/>
          <w:b/>
          <w:bCs/>
          <w:lang w:val="es-ES"/>
        </w:rPr>
        <w:t xml:space="preserve"> de 202</w:t>
      </w:r>
      <w:r w:rsidR="00673057" w:rsidRPr="00CA329C">
        <w:rPr>
          <w:rFonts w:ascii="Bookman Old Style" w:hAnsi="Bookman Old Style"/>
          <w:b/>
          <w:bCs/>
          <w:lang w:val="es-ES"/>
        </w:rPr>
        <w:t>2</w:t>
      </w:r>
      <w:r w:rsidRPr="00CA329C">
        <w:rPr>
          <w:rFonts w:ascii="Bookman Old Style" w:hAnsi="Bookman Old Style"/>
          <w:lang w:val="es-ES"/>
        </w:rPr>
        <w:t>. Por</w:t>
      </w:r>
      <w:r w:rsidR="00673057" w:rsidRPr="00CA329C">
        <w:rPr>
          <w:rFonts w:ascii="Bookman Old Style" w:hAnsi="Bookman Old Style"/>
          <w:lang w:val="es-ES"/>
        </w:rPr>
        <w:t xml:space="preserve"> la cual se decreta el Presupuesto del Sistema General de Regalías para el bienio del 1 ° de enero de 2023 al 31 de diciembre de 2024.</w:t>
      </w:r>
    </w:p>
    <w:p w14:paraId="7C5731A8" w14:textId="77777777" w:rsidR="00673057" w:rsidRPr="00CA329C" w:rsidRDefault="00673057" w:rsidP="00673057">
      <w:pPr>
        <w:pStyle w:val="Prrafodelista"/>
        <w:ind w:left="780"/>
        <w:jc w:val="both"/>
        <w:rPr>
          <w:rFonts w:ascii="Bookman Old Style" w:hAnsi="Bookman Old Style"/>
          <w:lang w:val="es-ES"/>
        </w:rPr>
      </w:pPr>
    </w:p>
    <w:p w14:paraId="65C7274A" w14:textId="2504889D" w:rsidR="009B06A0" w:rsidRPr="00CA329C" w:rsidRDefault="009B06A0" w:rsidP="009B06A0">
      <w:pPr>
        <w:jc w:val="both"/>
        <w:rPr>
          <w:rFonts w:ascii="Bookman Old Style" w:hAnsi="Bookman Old Style"/>
          <w:lang w:val="es-ES"/>
        </w:rPr>
      </w:pPr>
      <w:r w:rsidRPr="00CA329C">
        <w:rPr>
          <w:rFonts w:ascii="Bookman Old Style" w:hAnsi="Bookman Old Style"/>
          <w:lang w:val="es-ES"/>
        </w:rPr>
        <w:t xml:space="preserve">La Ley asignó a la CGR </w:t>
      </w:r>
      <w:r w:rsidR="006C264A" w:rsidRPr="00CA329C">
        <w:rPr>
          <w:rFonts w:ascii="Bookman Old Style" w:hAnsi="Bookman Old Style"/>
          <w:lang w:val="es-ES"/>
        </w:rPr>
        <w:t>149 mil 536</w:t>
      </w:r>
      <w:r w:rsidRPr="00CA329C">
        <w:rPr>
          <w:rFonts w:ascii="Bookman Old Style" w:hAnsi="Bookman Old Style"/>
          <w:lang w:val="es-ES"/>
        </w:rPr>
        <w:t xml:space="preserve"> millones de pesos </w:t>
      </w:r>
      <w:r w:rsidR="006C264A" w:rsidRPr="00CA329C">
        <w:rPr>
          <w:rFonts w:ascii="Bookman Old Style" w:hAnsi="Bookman Old Style"/>
          <w:lang w:val="es-ES"/>
        </w:rPr>
        <w:t xml:space="preserve">en arreglo a lo dispuesto </w:t>
      </w:r>
      <w:r w:rsidR="00CD6F77" w:rsidRPr="00CA329C">
        <w:rPr>
          <w:rFonts w:ascii="Bookman Old Style" w:hAnsi="Bookman Old Style"/>
          <w:lang w:val="es-ES"/>
        </w:rPr>
        <w:t xml:space="preserve">para este órgano de control fiscal </w:t>
      </w:r>
      <w:r w:rsidR="006C264A" w:rsidRPr="00CA329C">
        <w:rPr>
          <w:rFonts w:ascii="Bookman Old Style" w:hAnsi="Bookman Old Style"/>
          <w:lang w:val="es-ES"/>
        </w:rPr>
        <w:t xml:space="preserve">en el artículo 361 de la Constitución Política, modificado por el Acto Legislativo 05 de 2019 y lo establecido en </w:t>
      </w:r>
      <w:r w:rsidR="00C64C54" w:rsidRPr="00CA329C">
        <w:rPr>
          <w:rFonts w:ascii="Bookman Old Style" w:hAnsi="Bookman Old Style"/>
          <w:lang w:val="es-ES"/>
        </w:rPr>
        <w:t>los</w:t>
      </w:r>
      <w:r w:rsidR="00054670" w:rsidRPr="00CA329C">
        <w:rPr>
          <w:rFonts w:ascii="Bookman Old Style" w:hAnsi="Bookman Old Style"/>
          <w:lang w:val="es-ES"/>
        </w:rPr>
        <w:t xml:space="preserve"> artículo</w:t>
      </w:r>
      <w:r w:rsidR="00C64C54" w:rsidRPr="00CA329C">
        <w:rPr>
          <w:rFonts w:ascii="Bookman Old Style" w:hAnsi="Bookman Old Style"/>
          <w:lang w:val="es-ES"/>
        </w:rPr>
        <w:t>s</w:t>
      </w:r>
      <w:r w:rsidR="00054670" w:rsidRPr="00CA329C">
        <w:rPr>
          <w:rFonts w:ascii="Bookman Old Style" w:hAnsi="Bookman Old Style"/>
          <w:lang w:val="es-ES"/>
        </w:rPr>
        <w:t xml:space="preserve"> 22 </w:t>
      </w:r>
      <w:r w:rsidR="00C64C54" w:rsidRPr="00CA329C">
        <w:rPr>
          <w:rFonts w:ascii="Bookman Old Style" w:hAnsi="Bookman Old Style"/>
          <w:lang w:val="es-ES"/>
        </w:rPr>
        <w:t xml:space="preserve">y </w:t>
      </w:r>
      <w:r w:rsidR="006C264A" w:rsidRPr="00CA329C">
        <w:rPr>
          <w:rFonts w:ascii="Bookman Old Style" w:hAnsi="Bookman Old Style"/>
          <w:lang w:val="es-ES"/>
        </w:rPr>
        <w:t xml:space="preserve">183 </w:t>
      </w:r>
      <w:r w:rsidR="004B3D6A" w:rsidRPr="00CA329C">
        <w:rPr>
          <w:rFonts w:ascii="Bookman Old Style" w:hAnsi="Bookman Old Style"/>
          <w:lang w:val="es-ES"/>
        </w:rPr>
        <w:t>de la</w:t>
      </w:r>
      <w:r w:rsidR="00CD6F77" w:rsidRPr="00CA329C">
        <w:rPr>
          <w:rFonts w:ascii="Bookman Old Style" w:hAnsi="Bookman Old Style"/>
          <w:lang w:val="es-ES"/>
        </w:rPr>
        <w:t xml:space="preserve"> Ley 2056 de 2020</w:t>
      </w:r>
      <w:r w:rsidRPr="00CA329C">
        <w:rPr>
          <w:rFonts w:ascii="Bookman Old Style" w:hAnsi="Bookman Old Style"/>
          <w:lang w:val="es-ES"/>
        </w:rPr>
        <w:t xml:space="preserve">. </w:t>
      </w:r>
    </w:p>
    <w:p w14:paraId="243B2E3B" w14:textId="77777777" w:rsidR="009B06A0" w:rsidRPr="00CA329C" w:rsidRDefault="009B06A0" w:rsidP="009B06A0">
      <w:pPr>
        <w:jc w:val="both"/>
        <w:rPr>
          <w:rFonts w:ascii="Bookman Old Style" w:hAnsi="Bookman Old Style"/>
          <w:lang w:val="es-ES"/>
        </w:rPr>
      </w:pPr>
    </w:p>
    <w:p w14:paraId="3308E879" w14:textId="2416B064" w:rsidR="00C340BA" w:rsidRPr="00CA329C" w:rsidRDefault="00C340BA" w:rsidP="00C340BA">
      <w:pPr>
        <w:pStyle w:val="Prrafodelista"/>
        <w:numPr>
          <w:ilvl w:val="0"/>
          <w:numId w:val="1"/>
        </w:numPr>
        <w:jc w:val="both"/>
        <w:rPr>
          <w:rFonts w:ascii="Bookman Old Style" w:hAnsi="Bookman Old Style"/>
          <w:lang w:val="es-ES"/>
        </w:rPr>
      </w:pPr>
      <w:r w:rsidRPr="00CA329C">
        <w:rPr>
          <w:rFonts w:ascii="Bookman Old Style" w:hAnsi="Bookman Old Style"/>
          <w:b/>
          <w:bCs/>
          <w:lang w:val="es-ES"/>
        </w:rPr>
        <w:t>Decreto 2651 de 2022</w:t>
      </w:r>
      <w:r w:rsidRPr="00CA329C">
        <w:rPr>
          <w:rFonts w:ascii="Bookman Old Style" w:hAnsi="Bookman Old Style"/>
          <w:lang w:val="es-ES"/>
        </w:rPr>
        <w:t>. Por el cual se suprimen y crean unos empleos en la planta global de duración temporal de la Contraloría General de la República, para la vigilancia y control fiscal de los recursos del Sistema General de Regalías.</w:t>
      </w:r>
    </w:p>
    <w:p w14:paraId="3A163B40" w14:textId="77777777" w:rsidR="008E6A3A" w:rsidRPr="00CA329C" w:rsidRDefault="008E6A3A" w:rsidP="00363DC4">
      <w:pPr>
        <w:jc w:val="both"/>
        <w:rPr>
          <w:rFonts w:ascii="Bookman Old Style" w:hAnsi="Bookman Old Style"/>
          <w:lang w:val="es-ES"/>
        </w:rPr>
      </w:pPr>
    </w:p>
    <w:p w14:paraId="63209DEC" w14:textId="6F42BD04" w:rsidR="00C340BA" w:rsidRPr="00CA329C" w:rsidRDefault="00C340BA" w:rsidP="00C340BA">
      <w:pPr>
        <w:jc w:val="both"/>
        <w:rPr>
          <w:rFonts w:ascii="Bookman Old Style" w:hAnsi="Bookman Old Style"/>
          <w:lang w:val="es-ES"/>
        </w:rPr>
      </w:pPr>
      <w:r w:rsidRPr="00CA329C">
        <w:rPr>
          <w:rFonts w:ascii="Bookman Old Style" w:hAnsi="Bookman Old Style"/>
          <w:lang w:val="es-ES"/>
        </w:rPr>
        <w:t xml:space="preserve">Materializó las facultades de creación de la Planta temporal autorizadas en la </w:t>
      </w:r>
      <w:r w:rsidR="009B06A0" w:rsidRPr="00CA329C">
        <w:rPr>
          <w:rFonts w:ascii="Bookman Old Style" w:hAnsi="Bookman Old Style"/>
          <w:lang w:val="es-ES"/>
        </w:rPr>
        <w:t>Ley 2278 de 2022</w:t>
      </w:r>
      <w:r w:rsidRPr="00CA329C">
        <w:rPr>
          <w:rFonts w:ascii="Bookman Old Style" w:hAnsi="Bookman Old Style"/>
          <w:lang w:val="es-ES"/>
        </w:rPr>
        <w:t>. El Decreto</w:t>
      </w:r>
      <w:r w:rsidR="00B43B75" w:rsidRPr="00CA329C">
        <w:rPr>
          <w:rFonts w:ascii="Bookman Old Style" w:hAnsi="Bookman Old Style"/>
          <w:lang w:val="es-ES"/>
        </w:rPr>
        <w:t xml:space="preserve"> </w:t>
      </w:r>
      <w:r w:rsidRPr="00CA329C">
        <w:rPr>
          <w:rFonts w:ascii="Bookman Old Style" w:hAnsi="Bookman Old Style"/>
          <w:lang w:val="es-ES"/>
        </w:rPr>
        <w:t xml:space="preserve">Ley </w:t>
      </w:r>
      <w:r w:rsidR="00B43B75" w:rsidRPr="00CA329C">
        <w:rPr>
          <w:rFonts w:ascii="Bookman Old Style" w:hAnsi="Bookman Old Style"/>
          <w:lang w:val="es-ES"/>
        </w:rPr>
        <w:t xml:space="preserve">suprimió la planta global de duración temporal creada mediante el Decreto Ley 1755 de 2020 y </w:t>
      </w:r>
      <w:r w:rsidRPr="00CA329C">
        <w:rPr>
          <w:rFonts w:ascii="Bookman Old Style" w:hAnsi="Bookman Old Style"/>
          <w:lang w:val="es-ES"/>
        </w:rPr>
        <w:t xml:space="preserve">creó una planta </w:t>
      </w:r>
      <w:r w:rsidRPr="00CA329C">
        <w:rPr>
          <w:rFonts w:ascii="Bookman Old Style" w:hAnsi="Bookman Old Style"/>
          <w:lang w:val="es-ES"/>
        </w:rPr>
        <w:lastRenderedPageBreak/>
        <w:t xml:space="preserve">global de duración temporal desde </w:t>
      </w:r>
      <w:r w:rsidR="00B43B75" w:rsidRPr="00CA329C">
        <w:rPr>
          <w:rFonts w:ascii="Bookman Old Style" w:hAnsi="Bookman Old Style"/>
          <w:lang w:val="es-ES"/>
        </w:rPr>
        <w:t xml:space="preserve">el 1 de enero de 2023 hasta el 31 de diciembre de 2024 </w:t>
      </w:r>
      <w:r w:rsidRPr="00CA329C">
        <w:rPr>
          <w:rFonts w:ascii="Bookman Old Style" w:hAnsi="Bookman Old Style"/>
          <w:lang w:val="es-ES"/>
        </w:rPr>
        <w:t xml:space="preserve">con </w:t>
      </w:r>
      <w:r w:rsidR="00947089" w:rsidRPr="00CA329C">
        <w:rPr>
          <w:rFonts w:ascii="Bookman Old Style" w:hAnsi="Bookman Old Style"/>
          <w:lang w:val="es-ES"/>
        </w:rPr>
        <w:t>375 cargos</w:t>
      </w:r>
      <w:r w:rsidRPr="00CA329C">
        <w:rPr>
          <w:rFonts w:ascii="Bookman Old Style" w:hAnsi="Bookman Old Style"/>
          <w:lang w:val="es-ES"/>
        </w:rPr>
        <w:t xml:space="preserve"> en la entidad de control.</w:t>
      </w:r>
    </w:p>
    <w:p w14:paraId="5924BEB6" w14:textId="77777777" w:rsidR="00C340BA" w:rsidRPr="00CA329C" w:rsidRDefault="00C340BA" w:rsidP="00C340BA">
      <w:pPr>
        <w:jc w:val="both"/>
        <w:rPr>
          <w:rFonts w:ascii="Bookman Old Style" w:hAnsi="Bookman Old Style"/>
          <w:lang w:val="es-ES"/>
        </w:rPr>
      </w:pPr>
    </w:p>
    <w:p w14:paraId="65EA68ED" w14:textId="37C1AEE3"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Del anterior recuento normativo que puntualizó la conjunción de normas constitucionales, legales y providencias judiciales que de una u otra forma han versado sobre las competencias de la Contraloría General </w:t>
      </w:r>
      <w:r w:rsidR="00A8178F" w:rsidRPr="00CA329C">
        <w:rPr>
          <w:rFonts w:ascii="Bookman Old Style" w:hAnsi="Bookman Old Style"/>
          <w:lang w:val="es-ES"/>
        </w:rPr>
        <w:t xml:space="preserve">de la República </w:t>
      </w:r>
      <w:r w:rsidRPr="00CA329C">
        <w:rPr>
          <w:rFonts w:ascii="Bookman Old Style" w:hAnsi="Bookman Old Style"/>
          <w:lang w:val="es-ES"/>
        </w:rPr>
        <w:t xml:space="preserve">respecto del Sistema </w:t>
      </w:r>
      <w:r w:rsidR="000777BC" w:rsidRPr="00CA329C">
        <w:rPr>
          <w:rFonts w:ascii="Bookman Old Style" w:hAnsi="Bookman Old Style"/>
          <w:lang w:val="es-ES"/>
        </w:rPr>
        <w:t xml:space="preserve">General </w:t>
      </w:r>
      <w:r w:rsidRPr="00CA329C">
        <w:rPr>
          <w:rFonts w:ascii="Bookman Old Style" w:hAnsi="Bookman Old Style"/>
          <w:lang w:val="es-ES"/>
        </w:rPr>
        <w:t>de Regalías, sus asignaciones presupuestales y garantías constitucionales</w:t>
      </w:r>
      <w:r w:rsidR="00EF7438" w:rsidRPr="00CA329C">
        <w:rPr>
          <w:rFonts w:ascii="Bookman Old Style" w:hAnsi="Bookman Old Style"/>
          <w:lang w:val="es-ES"/>
        </w:rPr>
        <w:t>,</w:t>
      </w:r>
      <w:r w:rsidRPr="00CA329C">
        <w:rPr>
          <w:rFonts w:ascii="Bookman Old Style" w:hAnsi="Bookman Old Style"/>
          <w:lang w:val="es-ES"/>
        </w:rPr>
        <w:t xml:space="preserve"> </w:t>
      </w:r>
      <w:r w:rsidR="001B5429" w:rsidRPr="00CA329C">
        <w:rPr>
          <w:rFonts w:ascii="Bookman Old Style" w:hAnsi="Bookman Old Style"/>
          <w:lang w:val="es-ES"/>
        </w:rPr>
        <w:t xml:space="preserve">destacando </w:t>
      </w:r>
      <w:r w:rsidRPr="00CA329C">
        <w:rPr>
          <w:rFonts w:ascii="Bookman Old Style" w:hAnsi="Bookman Old Style"/>
          <w:lang w:val="es-ES"/>
        </w:rPr>
        <w:t xml:space="preserve">que desde </w:t>
      </w:r>
      <w:r w:rsidR="00EF7438" w:rsidRPr="00CA329C">
        <w:rPr>
          <w:rFonts w:ascii="Bookman Old Style" w:hAnsi="Bookman Old Style"/>
          <w:lang w:val="es-ES"/>
        </w:rPr>
        <w:t xml:space="preserve">el Acto Legislativo 05 de </w:t>
      </w:r>
      <w:r w:rsidRPr="00CA329C">
        <w:rPr>
          <w:rFonts w:ascii="Bookman Old Style" w:hAnsi="Bookman Old Style"/>
          <w:lang w:val="es-ES"/>
        </w:rPr>
        <w:t>2019</w:t>
      </w:r>
      <w:r w:rsidR="00947089" w:rsidRPr="00CA329C">
        <w:rPr>
          <w:rFonts w:ascii="Bookman Old Style" w:hAnsi="Bookman Old Style"/>
          <w:lang w:val="es-ES"/>
        </w:rPr>
        <w:t xml:space="preserve"> </w:t>
      </w:r>
      <w:r w:rsidR="001B5429" w:rsidRPr="00CA329C">
        <w:rPr>
          <w:rFonts w:ascii="Bookman Old Style" w:hAnsi="Bookman Old Style"/>
          <w:lang w:val="es-ES"/>
        </w:rPr>
        <w:t>modifica</w:t>
      </w:r>
      <w:r w:rsidR="00521177" w:rsidRPr="00CA329C">
        <w:rPr>
          <w:rFonts w:ascii="Bookman Old Style" w:hAnsi="Bookman Old Style"/>
          <w:lang w:val="es-ES"/>
        </w:rPr>
        <w:t>torio d</w:t>
      </w:r>
      <w:r w:rsidR="00947089" w:rsidRPr="00CA329C">
        <w:rPr>
          <w:rFonts w:ascii="Bookman Old Style" w:hAnsi="Bookman Old Style"/>
          <w:lang w:val="es-ES"/>
        </w:rPr>
        <w:t xml:space="preserve">el artículo 361 de </w:t>
      </w:r>
      <w:r w:rsidRPr="00CA329C">
        <w:rPr>
          <w:rFonts w:ascii="Bookman Old Style" w:hAnsi="Bookman Old Style"/>
          <w:lang w:val="es-ES"/>
        </w:rPr>
        <w:t>la carta política</w:t>
      </w:r>
      <w:r w:rsidR="00947089" w:rsidRPr="00CA329C">
        <w:rPr>
          <w:rFonts w:ascii="Bookman Old Style" w:hAnsi="Bookman Old Style"/>
          <w:lang w:val="es-ES"/>
        </w:rPr>
        <w:t xml:space="preserve"> </w:t>
      </w:r>
      <w:r w:rsidR="001B5429" w:rsidRPr="00CA329C">
        <w:rPr>
          <w:rFonts w:ascii="Bookman Old Style" w:hAnsi="Bookman Old Style"/>
          <w:lang w:val="es-ES"/>
        </w:rPr>
        <w:t>se incorpora</w:t>
      </w:r>
      <w:r w:rsidR="00521177" w:rsidRPr="00CA329C">
        <w:rPr>
          <w:rFonts w:ascii="Bookman Old Style" w:hAnsi="Bookman Old Style"/>
          <w:lang w:val="es-ES"/>
        </w:rPr>
        <w:t>,</w:t>
      </w:r>
      <w:r w:rsidR="001B5429" w:rsidRPr="00CA329C">
        <w:rPr>
          <w:rFonts w:ascii="Bookman Old Style" w:hAnsi="Bookman Old Style"/>
          <w:lang w:val="es-ES"/>
        </w:rPr>
        <w:t xml:space="preserve"> dentro de la </w:t>
      </w:r>
      <w:r w:rsidR="00947089" w:rsidRPr="00CA329C">
        <w:rPr>
          <w:rFonts w:ascii="Bookman Old Style" w:hAnsi="Bookman Old Style"/>
          <w:lang w:val="es-ES"/>
        </w:rPr>
        <w:t>distribución de los ingresos corrientes del Sistema General de Regalías</w:t>
      </w:r>
      <w:r w:rsidR="00521177" w:rsidRPr="00CA329C">
        <w:rPr>
          <w:rFonts w:ascii="Bookman Old Style" w:hAnsi="Bookman Old Style"/>
          <w:lang w:val="es-ES"/>
        </w:rPr>
        <w:t>,</w:t>
      </w:r>
      <w:r w:rsidR="001B5429" w:rsidRPr="00CA329C">
        <w:rPr>
          <w:rFonts w:ascii="Bookman Old Style" w:hAnsi="Bookman Old Style"/>
          <w:lang w:val="es-ES"/>
        </w:rPr>
        <w:t xml:space="preserve"> la asignación de </w:t>
      </w:r>
      <w:r w:rsidR="00947089" w:rsidRPr="00CA329C">
        <w:rPr>
          <w:rFonts w:ascii="Bookman Old Style" w:hAnsi="Bookman Old Style"/>
          <w:lang w:val="es-ES"/>
        </w:rPr>
        <w:t>la mitad del 1%</w:t>
      </w:r>
      <w:r w:rsidR="00947089" w:rsidRPr="00CA329C">
        <w:rPr>
          <w:rFonts w:ascii="Bookman Old Style" w:hAnsi="Bookman Old Style"/>
        </w:rPr>
        <w:t xml:space="preserve"> </w:t>
      </w:r>
      <w:r w:rsidR="00947089" w:rsidRPr="00CA329C">
        <w:rPr>
          <w:rFonts w:ascii="Bookman Old Style" w:hAnsi="Bookman Old Style"/>
          <w:lang w:val="es-ES"/>
        </w:rPr>
        <w:t>para la operatividad del Sistema de Seguimiento, Evaluación y Control</w:t>
      </w:r>
      <w:r w:rsidR="001B5429" w:rsidRPr="00CA329C">
        <w:rPr>
          <w:rFonts w:ascii="Bookman Old Style" w:hAnsi="Bookman Old Style"/>
          <w:lang w:val="es-ES"/>
        </w:rPr>
        <w:t xml:space="preserve"> con destino a la CGR</w:t>
      </w:r>
      <w:r w:rsidR="00947089" w:rsidRPr="00CA329C">
        <w:rPr>
          <w:rFonts w:ascii="Bookman Old Style" w:hAnsi="Bookman Old Style"/>
          <w:lang w:val="es-ES"/>
        </w:rPr>
        <w:t>,</w:t>
      </w:r>
      <w:r w:rsidR="00A1144E" w:rsidRPr="00CA329C">
        <w:rPr>
          <w:rFonts w:ascii="Bookman Old Style" w:hAnsi="Bookman Old Style"/>
        </w:rPr>
        <w:t xml:space="preserve"> y mediante el </w:t>
      </w:r>
      <w:r w:rsidR="00A1144E" w:rsidRPr="00CA329C">
        <w:rPr>
          <w:rFonts w:ascii="Bookman Old Style" w:hAnsi="Bookman Old Style"/>
          <w:lang w:val="es-ES"/>
        </w:rPr>
        <w:t xml:space="preserve">artículo 183 de la Ley 2056 se prevé que, la Contraloría General de la República para garantizar el adecuado ejercicio de las funciones de vigilancia y control fiscal sobre los recursos del Sistema General de Regalías, podrá contar con una planta temporal, financiada con el porcentaje de recursos asignado en el artículo 361 de la Constitución y los que se asignen de los recursos de funcionamiento del SGR, </w:t>
      </w:r>
      <w:r w:rsidR="001B5429" w:rsidRPr="00CA329C">
        <w:rPr>
          <w:rFonts w:ascii="Bookman Old Style" w:hAnsi="Bookman Old Style"/>
          <w:lang w:val="es-ES"/>
        </w:rPr>
        <w:t xml:space="preserve">a partir de lo cual </w:t>
      </w:r>
      <w:r w:rsidRPr="00CA329C">
        <w:rPr>
          <w:rFonts w:ascii="Bookman Old Style" w:hAnsi="Bookman Old Style"/>
          <w:lang w:val="es-ES"/>
        </w:rPr>
        <w:t xml:space="preserve"> se pueden desprender los siguientes estadios de análisis, a saber: </w:t>
      </w:r>
    </w:p>
    <w:p w14:paraId="6CC83705" w14:textId="77777777" w:rsidR="00363DC4" w:rsidRPr="00CA329C" w:rsidRDefault="00363DC4" w:rsidP="00363DC4">
      <w:pPr>
        <w:jc w:val="both"/>
        <w:rPr>
          <w:rFonts w:ascii="Bookman Old Style" w:hAnsi="Bookman Old Style"/>
          <w:lang w:val="es-ES"/>
        </w:rPr>
      </w:pPr>
    </w:p>
    <w:p w14:paraId="57F39C5F" w14:textId="60A5AFDC"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En términos normativos se puede afirmar que han existido desde la creación del Sistema </w:t>
      </w:r>
      <w:r w:rsidR="0072791D" w:rsidRPr="00CA329C">
        <w:rPr>
          <w:rFonts w:ascii="Bookman Old Style" w:hAnsi="Bookman Old Style"/>
          <w:lang w:val="es-ES"/>
        </w:rPr>
        <w:t xml:space="preserve">General de Regalías </w:t>
      </w:r>
      <w:r w:rsidRPr="00CA329C">
        <w:rPr>
          <w:rFonts w:ascii="Bookman Old Style" w:hAnsi="Bookman Old Style"/>
          <w:lang w:val="es-ES"/>
        </w:rPr>
        <w:t xml:space="preserve">en 2011, </w:t>
      </w:r>
      <w:r w:rsidR="005948F4" w:rsidRPr="00CA329C">
        <w:rPr>
          <w:rFonts w:ascii="Bookman Old Style" w:hAnsi="Bookman Old Style"/>
          <w:lang w:val="es-ES"/>
        </w:rPr>
        <w:t>cuatro</w:t>
      </w:r>
      <w:r w:rsidRPr="00CA329C">
        <w:rPr>
          <w:rFonts w:ascii="Bookman Old Style" w:hAnsi="Bookman Old Style"/>
          <w:lang w:val="es-ES"/>
        </w:rPr>
        <w:t xml:space="preserve"> plantas temporales de la Contraloría: </w:t>
      </w:r>
    </w:p>
    <w:p w14:paraId="37C2D589" w14:textId="77777777" w:rsidR="00363DC4" w:rsidRPr="00CA329C" w:rsidRDefault="00363DC4" w:rsidP="00363DC4">
      <w:pPr>
        <w:rPr>
          <w:rFonts w:ascii="Bookman Old Style" w:hAnsi="Bookman Old Style"/>
          <w:lang w:val="es-ES"/>
        </w:rPr>
      </w:pPr>
    </w:p>
    <w:p w14:paraId="4886A742" w14:textId="455FA808" w:rsidR="00363DC4" w:rsidRPr="00CA329C" w:rsidRDefault="00363DC4" w:rsidP="00363DC4">
      <w:pPr>
        <w:jc w:val="both"/>
        <w:rPr>
          <w:rFonts w:ascii="Bookman Old Style" w:hAnsi="Bookman Old Style"/>
          <w:lang w:val="es-ES"/>
        </w:rPr>
      </w:pPr>
      <w:r w:rsidRPr="00CA329C">
        <w:rPr>
          <w:rFonts w:ascii="Bookman Old Style" w:hAnsi="Bookman Old Style"/>
          <w:lang w:val="es-ES"/>
        </w:rPr>
        <w:t>1.</w:t>
      </w:r>
      <w:r w:rsidRPr="00CA329C">
        <w:rPr>
          <w:rFonts w:ascii="Bookman Old Style" w:hAnsi="Bookman Old Style"/>
          <w:lang w:val="es-ES"/>
        </w:rPr>
        <w:tab/>
        <w:t xml:space="preserve">Planta temporal erigida mediante el Decreto Ley 1539 de 2012 que creó 338 cargos, su fundamento fue la habilitación al presidente en el artículo 152 de la Ley 1530. </w:t>
      </w:r>
      <w:r w:rsidR="000E3FB4" w:rsidRPr="00CA329C">
        <w:rPr>
          <w:rFonts w:ascii="Bookman Old Style" w:hAnsi="Bookman Old Style"/>
          <w:lang w:val="es-ES"/>
        </w:rPr>
        <w:t>Esta</w:t>
      </w:r>
      <w:r w:rsidRPr="00CA329C">
        <w:rPr>
          <w:rFonts w:ascii="Bookman Old Style" w:hAnsi="Bookman Old Style"/>
          <w:lang w:val="es-ES"/>
        </w:rPr>
        <w:t xml:space="preserve"> planta se prorrogó en </w:t>
      </w:r>
      <w:r w:rsidR="00DA563E" w:rsidRPr="00CA329C">
        <w:rPr>
          <w:rFonts w:ascii="Bookman Old Style" w:hAnsi="Bookman Old Style"/>
          <w:lang w:val="es-ES"/>
        </w:rPr>
        <w:t>los</w:t>
      </w:r>
      <w:r w:rsidRPr="00CA329C">
        <w:rPr>
          <w:rFonts w:ascii="Bookman Old Style" w:hAnsi="Bookman Old Style"/>
          <w:lang w:val="es-ES"/>
        </w:rPr>
        <w:t xml:space="preserve"> bienios 2015-2016</w:t>
      </w:r>
      <w:r w:rsidR="00DA563E" w:rsidRPr="00CA329C">
        <w:rPr>
          <w:rFonts w:ascii="Bookman Old Style" w:hAnsi="Bookman Old Style"/>
          <w:lang w:val="es-ES"/>
        </w:rPr>
        <w:t xml:space="preserve"> (mediante la Ley 1744 de 2014)</w:t>
      </w:r>
      <w:r w:rsidRPr="00CA329C">
        <w:rPr>
          <w:rFonts w:ascii="Bookman Old Style" w:hAnsi="Bookman Old Style"/>
          <w:lang w:val="es-ES"/>
        </w:rPr>
        <w:t xml:space="preserve"> y </w:t>
      </w:r>
      <w:r w:rsidR="00DA563E" w:rsidRPr="00CA329C">
        <w:rPr>
          <w:rFonts w:ascii="Bookman Old Style" w:hAnsi="Bookman Old Style"/>
          <w:lang w:val="es-ES"/>
        </w:rPr>
        <w:t xml:space="preserve">para el bienio </w:t>
      </w:r>
      <w:r w:rsidRPr="00CA329C">
        <w:rPr>
          <w:rFonts w:ascii="Bookman Old Style" w:hAnsi="Bookman Old Style"/>
          <w:lang w:val="es-ES"/>
        </w:rPr>
        <w:t>2017-2018</w:t>
      </w:r>
      <w:r w:rsidR="00DA563E" w:rsidRPr="00CA329C">
        <w:rPr>
          <w:rFonts w:ascii="Bookman Old Style" w:hAnsi="Bookman Old Style"/>
          <w:lang w:val="es-ES"/>
        </w:rPr>
        <w:t xml:space="preserve"> (mediante el Decreto 2190 de 2016)</w:t>
      </w:r>
      <w:r w:rsidRPr="00CA329C">
        <w:rPr>
          <w:rFonts w:ascii="Bookman Old Style" w:hAnsi="Bookman Old Style"/>
          <w:lang w:val="es-ES"/>
        </w:rPr>
        <w:t xml:space="preserve"> sin fallos de anulación constitucional en razón a la planta</w:t>
      </w:r>
      <w:r w:rsidR="00DA563E" w:rsidRPr="00CA329C">
        <w:rPr>
          <w:rFonts w:ascii="Bookman Old Style" w:hAnsi="Bookman Old Style"/>
          <w:lang w:val="es-ES"/>
        </w:rPr>
        <w:t>, y su continuidad.</w:t>
      </w:r>
    </w:p>
    <w:p w14:paraId="70CB7B8C" w14:textId="77777777" w:rsidR="00363DC4" w:rsidRPr="00CA329C" w:rsidRDefault="00363DC4" w:rsidP="00363DC4">
      <w:pPr>
        <w:jc w:val="both"/>
        <w:rPr>
          <w:rFonts w:ascii="Bookman Old Style" w:hAnsi="Bookman Old Style"/>
          <w:lang w:val="es-ES"/>
        </w:rPr>
      </w:pPr>
    </w:p>
    <w:p w14:paraId="494F8B44" w14:textId="01B5252A"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Si bien la sentencia C 618/15 se produjo en el contexto de </w:t>
      </w:r>
      <w:r w:rsidR="000E3FB4" w:rsidRPr="00CA329C">
        <w:rPr>
          <w:rFonts w:ascii="Bookman Old Style" w:hAnsi="Bookman Old Style"/>
          <w:lang w:val="es-ES"/>
        </w:rPr>
        <w:t>esta</w:t>
      </w:r>
      <w:r w:rsidRPr="00CA329C">
        <w:rPr>
          <w:rFonts w:ascii="Bookman Old Style" w:hAnsi="Bookman Old Style"/>
          <w:lang w:val="es-ES"/>
        </w:rPr>
        <w:t xml:space="preserve"> planta, la misma de ninguna manera removió del ordenamiento jurídico los empleos </w:t>
      </w:r>
      <w:r w:rsidR="00FD1A0D" w:rsidRPr="00CA329C">
        <w:rPr>
          <w:rFonts w:ascii="Bookman Old Style" w:hAnsi="Bookman Old Style"/>
          <w:lang w:val="es-ES"/>
        </w:rPr>
        <w:t xml:space="preserve">creados </w:t>
      </w:r>
      <w:r w:rsidRPr="00CA329C">
        <w:rPr>
          <w:rFonts w:ascii="Bookman Old Style" w:hAnsi="Bookman Old Style"/>
          <w:lang w:val="es-ES"/>
        </w:rPr>
        <w:t>, sino que consideró que las disposiciones del artículo 39 del presupuesto 2015-2016 (Ley 1744) que establecían que la totalidad de la planta pertenecía a la categoría de empleos de libre nombramiento y remoción, no se ajustaban a la constitución</w:t>
      </w:r>
      <w:r w:rsidR="00FD1A0D" w:rsidRPr="00CA329C">
        <w:rPr>
          <w:rFonts w:ascii="Bookman Old Style" w:hAnsi="Bookman Old Style"/>
          <w:lang w:val="es-ES"/>
        </w:rPr>
        <w:t xml:space="preserve">, </w:t>
      </w:r>
      <w:r w:rsidR="00FD1A0D" w:rsidRPr="00CA329C">
        <w:rPr>
          <w:rFonts w:ascii="Bookman Old Style" w:hAnsi="Bookman Old Style"/>
        </w:rPr>
        <w:t xml:space="preserve"> explicándose por parte de la Corte Constitucional </w:t>
      </w:r>
      <w:r w:rsidR="00FD1A0D" w:rsidRPr="00CA329C">
        <w:rPr>
          <w:rFonts w:ascii="Bookman Old Style" w:hAnsi="Bookman Old Style"/>
          <w:lang w:val="es-ES"/>
        </w:rPr>
        <w:t>que los empleos temporales conforman una categoría especial distinta de los empleos de carrera administrativa y de los de libre nombramiento y remoción</w:t>
      </w:r>
      <w:r w:rsidRPr="00CA329C">
        <w:rPr>
          <w:rFonts w:ascii="Bookman Old Style" w:hAnsi="Bookman Old Style"/>
          <w:lang w:val="es-ES"/>
        </w:rPr>
        <w:t xml:space="preserve">. No obstante, ni la planta como figura instrumental de la Contraloría para ejercer las funciones de control, ni la figura de la prórroga fueron encontrados </w:t>
      </w:r>
      <w:r w:rsidR="003E36C9" w:rsidRPr="00CA329C">
        <w:rPr>
          <w:rFonts w:ascii="Bookman Old Style" w:hAnsi="Bookman Old Style"/>
          <w:lang w:val="es-ES"/>
        </w:rPr>
        <w:t>inconstitucionales para</w:t>
      </w:r>
      <w:r w:rsidR="000C5CD1" w:rsidRPr="00CA329C">
        <w:rPr>
          <w:rFonts w:ascii="Bookman Old Style" w:hAnsi="Bookman Old Style"/>
          <w:lang w:val="es-ES"/>
        </w:rPr>
        <w:t xml:space="preserve"> el </w:t>
      </w:r>
      <w:r w:rsidRPr="00CA329C">
        <w:rPr>
          <w:rFonts w:ascii="Bookman Old Style" w:hAnsi="Bookman Old Style"/>
          <w:lang w:val="es-ES"/>
        </w:rPr>
        <w:t xml:space="preserve">alto tribunal. </w:t>
      </w:r>
    </w:p>
    <w:p w14:paraId="0B9E8EA4" w14:textId="77777777" w:rsidR="00363DC4" w:rsidRPr="00CA329C" w:rsidRDefault="00363DC4" w:rsidP="00363DC4">
      <w:pPr>
        <w:jc w:val="both"/>
        <w:rPr>
          <w:rFonts w:ascii="Bookman Old Style" w:hAnsi="Bookman Old Style"/>
          <w:lang w:val="es-ES"/>
        </w:rPr>
      </w:pPr>
    </w:p>
    <w:p w14:paraId="5CD2E25F" w14:textId="6E48D3F4" w:rsidR="00363DC4" w:rsidRPr="00CA329C" w:rsidRDefault="00363DC4" w:rsidP="00363DC4">
      <w:pPr>
        <w:jc w:val="both"/>
        <w:rPr>
          <w:rFonts w:ascii="Bookman Old Style" w:hAnsi="Bookman Old Style"/>
          <w:lang w:val="es-ES"/>
        </w:rPr>
      </w:pPr>
      <w:r w:rsidRPr="00CA329C">
        <w:rPr>
          <w:rFonts w:ascii="Bookman Old Style" w:hAnsi="Bookman Old Style"/>
          <w:lang w:val="es-ES"/>
        </w:rPr>
        <w:lastRenderedPageBreak/>
        <w:t>2.</w:t>
      </w:r>
      <w:r w:rsidRPr="00CA329C">
        <w:rPr>
          <w:rFonts w:ascii="Bookman Old Style" w:hAnsi="Bookman Old Style"/>
          <w:lang w:val="es-ES"/>
        </w:rPr>
        <w:tab/>
        <w:t>La planta temporal creada en la Ley presupuestal bienal 2018-2019 (art 38 Ley 1942</w:t>
      </w:r>
      <w:r w:rsidR="003E36C9" w:rsidRPr="00CA329C">
        <w:rPr>
          <w:rFonts w:ascii="Bookman Old Style" w:hAnsi="Bookman Old Style"/>
          <w:lang w:val="es-ES"/>
        </w:rPr>
        <w:t>) creó</w:t>
      </w:r>
      <w:r w:rsidRPr="00CA329C">
        <w:rPr>
          <w:rFonts w:ascii="Bookman Old Style" w:hAnsi="Bookman Old Style"/>
          <w:lang w:val="es-ES"/>
        </w:rPr>
        <w:t xml:space="preserve"> 110 cargos, la totalidad de libre nombramiento y remoción. La misma fue encontrada no ajustada a la constitución mediante la sentencia C-483/20 por no tener conexidad instrumental con una Ley de esta naturaleza. </w:t>
      </w:r>
    </w:p>
    <w:p w14:paraId="21434A94" w14:textId="77777777" w:rsidR="00363DC4" w:rsidRPr="00CA329C" w:rsidRDefault="00363DC4" w:rsidP="00363DC4">
      <w:pPr>
        <w:jc w:val="both"/>
        <w:rPr>
          <w:rFonts w:ascii="Bookman Old Style" w:hAnsi="Bookman Old Style"/>
          <w:lang w:val="es-ES"/>
        </w:rPr>
      </w:pPr>
    </w:p>
    <w:p w14:paraId="2D90D11B" w14:textId="0F24666B"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Como se </w:t>
      </w:r>
      <w:r w:rsidR="008F5AA7" w:rsidRPr="00CA329C">
        <w:rPr>
          <w:rFonts w:ascii="Bookman Old Style" w:hAnsi="Bookman Old Style"/>
          <w:lang w:val="es-ES"/>
        </w:rPr>
        <w:t xml:space="preserve">anotó </w:t>
      </w:r>
      <w:r w:rsidRPr="00CA329C">
        <w:rPr>
          <w:rFonts w:ascii="Bookman Old Style" w:hAnsi="Bookman Old Style"/>
          <w:i/>
          <w:iCs/>
          <w:lang w:val="es-ES"/>
        </w:rPr>
        <w:t>in</w:t>
      </w:r>
      <w:r w:rsidR="008F5AA7" w:rsidRPr="00CA329C">
        <w:rPr>
          <w:rFonts w:ascii="Bookman Old Style" w:hAnsi="Bookman Old Style"/>
          <w:i/>
          <w:iCs/>
          <w:lang w:val="es-ES"/>
        </w:rPr>
        <w:t xml:space="preserve"> </w:t>
      </w:r>
      <w:r w:rsidRPr="00CA329C">
        <w:rPr>
          <w:rFonts w:ascii="Bookman Old Style" w:hAnsi="Bookman Old Style"/>
          <w:i/>
          <w:iCs/>
          <w:lang w:val="es-ES"/>
        </w:rPr>
        <w:t>extenso</w:t>
      </w:r>
      <w:r w:rsidRPr="00CA329C">
        <w:rPr>
          <w:rFonts w:ascii="Bookman Old Style" w:hAnsi="Bookman Old Style"/>
          <w:lang w:val="es-ES"/>
        </w:rPr>
        <w:t xml:space="preserve">, la </w:t>
      </w:r>
      <w:r w:rsidR="00220183" w:rsidRPr="00CA329C">
        <w:rPr>
          <w:rFonts w:ascii="Bookman Old Style" w:hAnsi="Bookman Old Style"/>
          <w:lang w:val="es-ES"/>
        </w:rPr>
        <w:t xml:space="preserve">Corte Constitucional </w:t>
      </w:r>
      <w:r w:rsidRPr="00CA329C">
        <w:rPr>
          <w:rFonts w:ascii="Bookman Old Style" w:hAnsi="Bookman Old Style"/>
          <w:lang w:val="es-ES"/>
        </w:rPr>
        <w:t xml:space="preserve">estableció unas reglas generales que deben ser tenidas en cuenta a la hora de evaluar la legalidad de una planta, entre ellas: no puede ser creada en una Ley bienal de forma directa </w:t>
      </w:r>
      <w:r w:rsidR="0014674A" w:rsidRPr="00CA329C">
        <w:rPr>
          <w:rFonts w:ascii="Bookman Old Style" w:hAnsi="Bookman Old Style"/>
          <w:lang w:val="es-ES"/>
        </w:rPr>
        <w:t xml:space="preserve">y tampoco se puede delegar </w:t>
      </w:r>
      <w:r w:rsidRPr="00CA329C">
        <w:rPr>
          <w:rFonts w:ascii="Bookman Old Style" w:hAnsi="Bookman Old Style"/>
          <w:lang w:val="es-ES"/>
        </w:rPr>
        <w:t xml:space="preserve">esta función en una Ley presupuestal bajo la figura contemplada en el numeral 10 del artículo 150 Superior al jefe de Estado. La vía correcta es un cuerpo jurídico distinto. </w:t>
      </w:r>
    </w:p>
    <w:p w14:paraId="6C03D18A" w14:textId="77777777" w:rsidR="004E2C42" w:rsidRPr="00CA329C" w:rsidRDefault="004E2C42" w:rsidP="004E2C42">
      <w:pPr>
        <w:jc w:val="both"/>
        <w:rPr>
          <w:rFonts w:ascii="Bookman Old Style" w:hAnsi="Bookman Old Style"/>
          <w:lang w:val="es-ES"/>
        </w:rPr>
      </w:pPr>
    </w:p>
    <w:p w14:paraId="0EC72454" w14:textId="685E85D5" w:rsidR="00363DC4" w:rsidRPr="00CA329C" w:rsidRDefault="00363DC4" w:rsidP="00363DC4">
      <w:pPr>
        <w:jc w:val="both"/>
        <w:rPr>
          <w:rFonts w:ascii="Bookman Old Style" w:hAnsi="Bookman Old Style"/>
          <w:lang w:val="es-ES"/>
        </w:rPr>
      </w:pPr>
      <w:r w:rsidRPr="00CA329C">
        <w:rPr>
          <w:rFonts w:ascii="Bookman Old Style" w:hAnsi="Bookman Old Style"/>
          <w:lang w:val="es-ES"/>
        </w:rPr>
        <w:t>3.</w:t>
      </w:r>
      <w:r w:rsidRPr="00CA329C">
        <w:rPr>
          <w:rFonts w:ascii="Bookman Old Style" w:hAnsi="Bookman Old Style"/>
          <w:lang w:val="es-ES"/>
        </w:rPr>
        <w:tab/>
        <w:t xml:space="preserve">Planta temporal creada mediante Decreto Ley 1755 de 2020, en fundamento al art. 183 de la Ley 2056 (que desarrolla el SGR). Este decretó la creación de 340 cargos, dicha planta cumple con las subreglas establecidas por la </w:t>
      </w:r>
      <w:r w:rsidR="009E07EE" w:rsidRPr="00CA329C">
        <w:rPr>
          <w:rFonts w:ascii="Bookman Old Style" w:hAnsi="Bookman Old Style"/>
          <w:lang w:val="es-ES"/>
        </w:rPr>
        <w:t>Corte</w:t>
      </w:r>
      <w:r w:rsidRPr="00CA329C">
        <w:rPr>
          <w:rFonts w:ascii="Bookman Old Style" w:hAnsi="Bookman Old Style"/>
          <w:lang w:val="es-ES"/>
        </w:rPr>
        <w:t xml:space="preserve"> en el fallo de 2020 y </w:t>
      </w:r>
      <w:r w:rsidR="00DA563E" w:rsidRPr="00CA329C">
        <w:rPr>
          <w:rFonts w:ascii="Bookman Old Style" w:hAnsi="Bookman Old Style"/>
          <w:lang w:val="es-ES"/>
        </w:rPr>
        <w:t>tuvo</w:t>
      </w:r>
      <w:r w:rsidRPr="00CA329C">
        <w:rPr>
          <w:rFonts w:ascii="Bookman Old Style" w:hAnsi="Bookman Old Style"/>
          <w:lang w:val="es-ES"/>
        </w:rPr>
        <w:t xml:space="preserve"> vigencia hasta el 31 de diciembre de 2022. </w:t>
      </w:r>
    </w:p>
    <w:p w14:paraId="10827775" w14:textId="77777777" w:rsidR="005948F4" w:rsidRPr="00CA329C" w:rsidRDefault="005948F4" w:rsidP="00363DC4">
      <w:pPr>
        <w:jc w:val="both"/>
        <w:rPr>
          <w:rFonts w:ascii="Bookman Old Style" w:hAnsi="Bookman Old Style"/>
          <w:lang w:val="es-ES"/>
        </w:rPr>
      </w:pPr>
    </w:p>
    <w:p w14:paraId="065F28A6" w14:textId="5C222566" w:rsidR="005948F4" w:rsidRPr="00CA329C" w:rsidRDefault="005948F4" w:rsidP="00363DC4">
      <w:pPr>
        <w:jc w:val="both"/>
        <w:rPr>
          <w:rFonts w:ascii="Bookman Old Style" w:hAnsi="Bookman Old Style"/>
          <w:lang w:val="es-ES"/>
        </w:rPr>
      </w:pPr>
      <w:r w:rsidRPr="00CA329C">
        <w:rPr>
          <w:rFonts w:ascii="Bookman Old Style" w:hAnsi="Bookman Old Style"/>
          <w:lang w:val="es-ES"/>
        </w:rPr>
        <w:t>4.</w:t>
      </w:r>
      <w:r w:rsidRPr="00CA329C">
        <w:rPr>
          <w:rFonts w:ascii="Bookman Old Style" w:hAnsi="Bookman Old Style"/>
          <w:lang w:val="es-ES"/>
        </w:rPr>
        <w:tab/>
        <w:t xml:space="preserve">Planta temporal creada mediante el Decreto Ley 2651 de 2022, en fundamento con la Ley 2279 de 2022, que otorgó precisas facultades extraordinarias al </w:t>
      </w:r>
      <w:proofErr w:type="gramStart"/>
      <w:r w:rsidRPr="00CA329C">
        <w:rPr>
          <w:rFonts w:ascii="Bookman Old Style" w:hAnsi="Bookman Old Style"/>
          <w:lang w:val="es-ES"/>
        </w:rPr>
        <w:t>Presidente</w:t>
      </w:r>
      <w:proofErr w:type="gramEnd"/>
      <w:r w:rsidRPr="00CA329C">
        <w:rPr>
          <w:rFonts w:ascii="Bookman Old Style" w:hAnsi="Bookman Old Style"/>
          <w:lang w:val="es-ES"/>
        </w:rPr>
        <w:t xml:space="preserve"> de la República para la creación de </w:t>
      </w:r>
      <w:r w:rsidR="00DA563E" w:rsidRPr="00CA329C">
        <w:rPr>
          <w:rFonts w:ascii="Bookman Old Style" w:hAnsi="Bookman Old Style"/>
          <w:lang w:val="es-ES"/>
        </w:rPr>
        <w:t>una nueva planta temporal, que derogó la del Decreto Ley 1755 de 2020, y con la cual se</w:t>
      </w:r>
      <w:r w:rsidRPr="00CA329C">
        <w:rPr>
          <w:rFonts w:ascii="Bookman Old Style" w:hAnsi="Bookman Old Style"/>
          <w:lang w:val="es-ES"/>
        </w:rPr>
        <w:t xml:space="preserve"> decretó la creación de 375 cargos, </w:t>
      </w:r>
      <w:r w:rsidR="00DA563E" w:rsidRPr="00CA329C">
        <w:rPr>
          <w:rFonts w:ascii="Bookman Old Style" w:hAnsi="Bookman Old Style"/>
          <w:lang w:val="es-ES"/>
        </w:rPr>
        <w:t>con</w:t>
      </w:r>
      <w:r w:rsidRPr="00CA329C">
        <w:rPr>
          <w:rFonts w:ascii="Bookman Old Style" w:hAnsi="Bookman Old Style"/>
          <w:lang w:val="es-ES"/>
        </w:rPr>
        <w:t xml:space="preserve"> vigencia hasta el 31 de diciembre de 2024, </w:t>
      </w:r>
      <w:r w:rsidR="00DA563E" w:rsidRPr="00CA329C">
        <w:rPr>
          <w:rFonts w:ascii="Bookman Old Style" w:hAnsi="Bookman Old Style"/>
          <w:lang w:val="es-ES"/>
        </w:rPr>
        <w:t>en consideración al presupuesto asignado por la Ley 2279 de 2022.</w:t>
      </w:r>
    </w:p>
    <w:p w14:paraId="08C97154" w14:textId="77777777" w:rsidR="00363DC4" w:rsidRPr="00CA329C" w:rsidRDefault="00363DC4" w:rsidP="00363DC4">
      <w:pPr>
        <w:jc w:val="both"/>
        <w:rPr>
          <w:rFonts w:ascii="Bookman Old Style" w:hAnsi="Bookman Old Style"/>
          <w:lang w:val="es-ES"/>
        </w:rPr>
      </w:pPr>
    </w:p>
    <w:p w14:paraId="4ABA2FA3" w14:textId="77777777" w:rsidR="0079457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Así, en materia constitucional las sentencias C-618 de 2015 y C-483 de 2020 dan un marco de análisis clave a la hora de considerar la creación legal de la planta de la CGR que se expone de la siguiente manera: </w:t>
      </w:r>
    </w:p>
    <w:p w14:paraId="5B835A39" w14:textId="77777777" w:rsidR="00794574" w:rsidRPr="00CA329C" w:rsidRDefault="00794574" w:rsidP="00363DC4">
      <w:pPr>
        <w:jc w:val="both"/>
        <w:rPr>
          <w:rFonts w:ascii="Bookman Old Style" w:hAnsi="Bookman Old Style"/>
          <w:lang w:val="es-ES"/>
        </w:rPr>
      </w:pPr>
    </w:p>
    <w:p w14:paraId="06CD55E1" w14:textId="28863FBB" w:rsidR="00363DC4" w:rsidRPr="00CA329C" w:rsidRDefault="00363DC4" w:rsidP="00731225">
      <w:pPr>
        <w:pStyle w:val="Prrafodelista"/>
        <w:numPr>
          <w:ilvl w:val="0"/>
          <w:numId w:val="13"/>
        </w:numPr>
        <w:ind w:left="0" w:firstLine="0"/>
        <w:jc w:val="both"/>
        <w:rPr>
          <w:rFonts w:ascii="Bookman Old Style" w:hAnsi="Bookman Old Style"/>
          <w:lang w:val="es-ES"/>
        </w:rPr>
      </w:pPr>
      <w:r w:rsidRPr="00CA329C">
        <w:rPr>
          <w:rFonts w:ascii="Bookman Old Style" w:hAnsi="Bookman Old Style"/>
          <w:lang w:val="es-ES"/>
        </w:rPr>
        <w:t xml:space="preserve">Los empleos son de reserva de Ley. Por lo que es necesaria una disposición con ese rango jerárquico para erigir la planta </w:t>
      </w:r>
      <w:r w:rsidR="00A209E5" w:rsidRPr="00CA329C">
        <w:rPr>
          <w:rFonts w:ascii="Bookman Old Style" w:hAnsi="Bookman Old Style"/>
          <w:lang w:val="es-ES"/>
        </w:rPr>
        <w:t xml:space="preserve">temporal </w:t>
      </w:r>
      <w:r w:rsidRPr="00CA329C">
        <w:rPr>
          <w:rFonts w:ascii="Bookman Old Style" w:hAnsi="Bookman Old Style"/>
          <w:lang w:val="es-ES"/>
        </w:rPr>
        <w:t xml:space="preserve">de la CGR. </w:t>
      </w:r>
    </w:p>
    <w:p w14:paraId="6BBB3DE6" w14:textId="77777777" w:rsidR="00363DC4" w:rsidRPr="00CA329C" w:rsidRDefault="00363DC4" w:rsidP="00F654FD">
      <w:pPr>
        <w:jc w:val="both"/>
        <w:rPr>
          <w:rFonts w:ascii="Bookman Old Style" w:hAnsi="Bookman Old Style"/>
          <w:lang w:val="es-ES"/>
        </w:rPr>
      </w:pPr>
    </w:p>
    <w:p w14:paraId="1CBF76CC" w14:textId="77777777" w:rsidR="00794574" w:rsidRPr="00CA329C" w:rsidRDefault="00794574" w:rsidP="00F654FD">
      <w:pPr>
        <w:pStyle w:val="Prrafodelista"/>
        <w:numPr>
          <w:ilvl w:val="0"/>
          <w:numId w:val="11"/>
        </w:numPr>
        <w:ind w:left="0" w:firstLine="0"/>
        <w:jc w:val="both"/>
        <w:rPr>
          <w:rFonts w:ascii="Bookman Old Style" w:hAnsi="Bookman Old Style"/>
          <w:lang w:val="es-ES"/>
        </w:rPr>
      </w:pPr>
      <w:r w:rsidRPr="00CA329C">
        <w:rPr>
          <w:rFonts w:ascii="Bookman Old Style" w:hAnsi="Bookman Old Style"/>
          <w:lang w:val="es-ES"/>
        </w:rPr>
        <w:t xml:space="preserve">Las leyes de presupuesto no pueden crear entidades públicas, señalar o modificar su estructura orgánica, crear plantas y empleos públicos, ni decretar ingresos o gastos. </w:t>
      </w:r>
    </w:p>
    <w:p w14:paraId="783D271B" w14:textId="77777777" w:rsidR="00794574" w:rsidRPr="00CA329C" w:rsidRDefault="00794574" w:rsidP="00F654FD">
      <w:pPr>
        <w:jc w:val="both"/>
        <w:rPr>
          <w:rFonts w:ascii="Bookman Old Style" w:hAnsi="Bookman Old Style"/>
          <w:lang w:val="es-ES"/>
        </w:rPr>
      </w:pPr>
    </w:p>
    <w:p w14:paraId="5D121D16" w14:textId="77777777" w:rsidR="00794574" w:rsidRPr="00CA329C" w:rsidRDefault="00794574" w:rsidP="00F654FD">
      <w:pPr>
        <w:pStyle w:val="Prrafodelista"/>
        <w:numPr>
          <w:ilvl w:val="0"/>
          <w:numId w:val="11"/>
        </w:numPr>
        <w:ind w:left="0" w:firstLine="0"/>
        <w:jc w:val="both"/>
        <w:rPr>
          <w:rFonts w:ascii="Bookman Old Style" w:hAnsi="Bookman Old Style"/>
          <w:i/>
          <w:iCs/>
          <w:lang w:val="es-ES"/>
        </w:rPr>
      </w:pPr>
      <w:r w:rsidRPr="00CA329C">
        <w:rPr>
          <w:rFonts w:ascii="Bookman Old Style" w:hAnsi="Bookman Old Style"/>
          <w:i/>
          <w:iCs/>
          <w:lang w:val="es-ES"/>
        </w:rPr>
        <w:t xml:space="preserve">Complementariamente, si el legislador no tiene competencia para dictar este tipo de normas en una ley bianual de presupuesto, tampoco a través de ellas puede conferir, revestir o diputar facultades -que no tiene- al </w:t>
      </w:r>
      <w:proofErr w:type="gramStart"/>
      <w:r w:rsidRPr="00CA329C">
        <w:rPr>
          <w:rFonts w:ascii="Bookman Old Style" w:hAnsi="Bookman Old Style"/>
          <w:i/>
          <w:iCs/>
          <w:lang w:val="es-ES"/>
        </w:rPr>
        <w:t>Presidente</w:t>
      </w:r>
      <w:proofErr w:type="gramEnd"/>
      <w:r w:rsidRPr="00CA329C">
        <w:rPr>
          <w:rFonts w:ascii="Bookman Old Style" w:hAnsi="Bookman Old Style"/>
          <w:i/>
          <w:iCs/>
          <w:lang w:val="es-ES"/>
        </w:rPr>
        <w:t xml:space="preserve"> de la República para los mismos efectos.</w:t>
      </w:r>
      <w:r w:rsidRPr="00CA329C">
        <w:rPr>
          <w:rFonts w:ascii="Bookman Old Style" w:hAnsi="Bookman Old Style"/>
        </w:rPr>
        <w:t xml:space="preserve"> </w:t>
      </w:r>
      <w:r w:rsidRPr="00CA329C">
        <w:rPr>
          <w:rFonts w:ascii="Bookman Old Style" w:hAnsi="Bookman Old Style"/>
          <w:lang w:val="es-ES"/>
        </w:rPr>
        <w:t xml:space="preserve">Lo anterior motivo la </w:t>
      </w:r>
      <w:proofErr w:type="spellStart"/>
      <w:r w:rsidRPr="00CA329C">
        <w:rPr>
          <w:rFonts w:ascii="Bookman Old Style" w:hAnsi="Bookman Old Style"/>
          <w:lang w:val="es-ES"/>
        </w:rPr>
        <w:t>inexequibilidad</w:t>
      </w:r>
      <w:proofErr w:type="spellEnd"/>
      <w:r w:rsidRPr="00CA329C">
        <w:rPr>
          <w:rFonts w:ascii="Bookman Old Style" w:hAnsi="Bookman Old Style"/>
          <w:lang w:val="es-ES"/>
        </w:rPr>
        <w:t xml:space="preserve"> del art 38 Ley 1942.</w:t>
      </w:r>
    </w:p>
    <w:p w14:paraId="1AF2AC96" w14:textId="77777777" w:rsidR="00794574" w:rsidRPr="00CA329C" w:rsidRDefault="00794574" w:rsidP="00F654FD">
      <w:pPr>
        <w:pStyle w:val="Prrafodelista"/>
        <w:ind w:left="0"/>
        <w:jc w:val="both"/>
        <w:rPr>
          <w:rFonts w:ascii="Bookman Old Style" w:hAnsi="Bookman Old Style"/>
          <w:lang w:val="es-ES"/>
        </w:rPr>
      </w:pPr>
    </w:p>
    <w:p w14:paraId="6AD3B6EE" w14:textId="33BB60F4" w:rsidR="00794574" w:rsidRPr="00CA329C" w:rsidRDefault="00794574" w:rsidP="00F654FD">
      <w:pPr>
        <w:pStyle w:val="Prrafodelista"/>
        <w:numPr>
          <w:ilvl w:val="0"/>
          <w:numId w:val="11"/>
        </w:numPr>
        <w:ind w:left="0" w:firstLine="0"/>
        <w:jc w:val="both"/>
        <w:rPr>
          <w:rFonts w:ascii="Bookman Old Style" w:hAnsi="Bookman Old Style"/>
          <w:lang w:val="es-ES"/>
        </w:rPr>
      </w:pPr>
      <w:r w:rsidRPr="00CA329C">
        <w:rPr>
          <w:rFonts w:ascii="Bookman Old Style" w:hAnsi="Bookman Old Style"/>
          <w:lang w:val="es-ES"/>
        </w:rPr>
        <w:lastRenderedPageBreak/>
        <w:t>En consecuencia, todo lo relacionado con la estructura, organización y planta de empleos de la Contraloría General de la República es un asunto que le corresponde regular al legislador mediante la expedición de leyes ordinarias que desarrollen las normas previstas en el artículo 267 de la Constitución Política, cuando se cumplan los presupuestos previstos en el numeral 10 del artículo 150 de la Constitución Política, mediante el ejercicio de facultades extraordinarias con la expedición de decretos con fuerza de ley</w:t>
      </w:r>
      <w:r w:rsidR="005948F4" w:rsidRPr="00CA329C">
        <w:rPr>
          <w:rFonts w:ascii="Bookman Old Style" w:hAnsi="Bookman Old Style"/>
          <w:lang w:val="es-ES"/>
        </w:rPr>
        <w:t>, o a través de la prórroga de una planta existente, como se presenta con la establecida por el Decreto Ley 1539 de 2012.</w:t>
      </w:r>
    </w:p>
    <w:p w14:paraId="7338055E" w14:textId="77777777" w:rsidR="00794574" w:rsidRPr="00CA329C" w:rsidRDefault="00794574" w:rsidP="00731225">
      <w:pPr>
        <w:pStyle w:val="Prrafodelista"/>
        <w:ind w:left="0"/>
        <w:rPr>
          <w:rFonts w:ascii="Bookman Old Style" w:hAnsi="Bookman Old Style"/>
          <w:lang w:val="es-ES"/>
        </w:rPr>
      </w:pPr>
    </w:p>
    <w:p w14:paraId="347E7AC1" w14:textId="2B88A768" w:rsidR="00794574" w:rsidRPr="00CA329C" w:rsidRDefault="00794574" w:rsidP="00F654FD">
      <w:pPr>
        <w:pStyle w:val="Prrafodelista"/>
        <w:numPr>
          <w:ilvl w:val="0"/>
          <w:numId w:val="11"/>
        </w:numPr>
        <w:ind w:left="0" w:firstLine="0"/>
        <w:jc w:val="both"/>
        <w:rPr>
          <w:rFonts w:ascii="Bookman Old Style" w:hAnsi="Bookman Old Style"/>
          <w:lang w:val="es-ES"/>
        </w:rPr>
      </w:pPr>
      <w:r w:rsidRPr="00CA329C">
        <w:rPr>
          <w:rFonts w:ascii="Bookman Old Style" w:hAnsi="Bookman Old Style"/>
          <w:lang w:val="es-ES"/>
        </w:rPr>
        <w:t>Los empleos temporales conforman una categoría especial distinta de los empleos de carrera administrativa y de los de libre nombramiento y remoción.</w:t>
      </w:r>
    </w:p>
    <w:p w14:paraId="70C8EC45" w14:textId="77777777" w:rsidR="00794574" w:rsidRPr="00CA329C" w:rsidRDefault="00794574" w:rsidP="00F654FD">
      <w:pPr>
        <w:jc w:val="both"/>
        <w:rPr>
          <w:rFonts w:ascii="Bookman Old Style" w:hAnsi="Bookman Old Style"/>
          <w:lang w:val="es-ES"/>
        </w:rPr>
      </w:pPr>
    </w:p>
    <w:p w14:paraId="09428B68" w14:textId="11081475" w:rsidR="00363DC4" w:rsidRPr="00CA329C" w:rsidRDefault="00363DC4" w:rsidP="00731225">
      <w:pPr>
        <w:pStyle w:val="Prrafodelista"/>
        <w:numPr>
          <w:ilvl w:val="0"/>
          <w:numId w:val="11"/>
        </w:numPr>
        <w:ind w:left="0" w:firstLine="0"/>
        <w:jc w:val="both"/>
        <w:rPr>
          <w:rFonts w:ascii="Bookman Old Style" w:hAnsi="Bookman Old Style"/>
          <w:lang w:val="es-ES"/>
        </w:rPr>
      </w:pPr>
      <w:r w:rsidRPr="00CA329C">
        <w:rPr>
          <w:rFonts w:ascii="Bookman Old Style" w:hAnsi="Bookman Old Style"/>
          <w:lang w:val="es-ES"/>
        </w:rPr>
        <w:t xml:space="preserve">Al revisar las plantas originarias </w:t>
      </w:r>
      <w:r w:rsidR="00DE2126" w:rsidRPr="00CA329C">
        <w:rPr>
          <w:rFonts w:ascii="Bookman Old Style" w:hAnsi="Bookman Old Style"/>
          <w:lang w:val="es-ES"/>
        </w:rPr>
        <w:t xml:space="preserve"> concordantes con las reglas  formuladas en los </w:t>
      </w:r>
      <w:r w:rsidRPr="00CA329C">
        <w:rPr>
          <w:rFonts w:ascii="Bookman Old Style" w:hAnsi="Bookman Old Style"/>
          <w:lang w:val="es-ES"/>
        </w:rPr>
        <w:t xml:space="preserve"> juicios de constitucionalidad</w:t>
      </w:r>
      <w:r w:rsidR="00DE2126" w:rsidRPr="00CA329C">
        <w:rPr>
          <w:rFonts w:ascii="Bookman Old Style" w:hAnsi="Bookman Old Style"/>
          <w:lang w:val="es-ES"/>
        </w:rPr>
        <w:t xml:space="preserve"> antecedentes, se encuentran las desarrolladas a partir de los </w:t>
      </w:r>
      <w:r w:rsidRPr="00CA329C">
        <w:rPr>
          <w:rFonts w:ascii="Bookman Old Style" w:hAnsi="Bookman Old Style"/>
          <w:lang w:val="es-ES"/>
        </w:rPr>
        <w:t xml:space="preserve"> artículos de facultades </w:t>
      </w:r>
      <w:r w:rsidR="00DE2126" w:rsidRPr="00CA329C">
        <w:rPr>
          <w:rFonts w:ascii="Bookman Old Style" w:hAnsi="Bookman Old Style"/>
          <w:lang w:val="es-ES"/>
        </w:rPr>
        <w:t>extraordinarias contenid</w:t>
      </w:r>
      <w:r w:rsidR="00172C01" w:rsidRPr="00CA329C">
        <w:rPr>
          <w:rFonts w:ascii="Bookman Old Style" w:hAnsi="Bookman Old Style"/>
          <w:lang w:val="es-ES"/>
        </w:rPr>
        <w:t>a</w:t>
      </w:r>
      <w:r w:rsidR="00DE2126" w:rsidRPr="00CA329C">
        <w:rPr>
          <w:rFonts w:ascii="Bookman Old Style" w:hAnsi="Bookman Old Style"/>
          <w:lang w:val="es-ES"/>
        </w:rPr>
        <w:t xml:space="preserve">s en las leyes 1530 de 2012 (artículo 152) y  2056 de 2020 (artículo 183),  leyes que regularon la organización y el funcionamiento del Sistema General de Regalías, </w:t>
      </w:r>
      <w:r w:rsidR="00105AFA" w:rsidRPr="00CA329C">
        <w:rPr>
          <w:rFonts w:ascii="Bookman Old Style" w:hAnsi="Bookman Old Style"/>
          <w:lang w:val="es-ES"/>
        </w:rPr>
        <w:t xml:space="preserve">y </w:t>
      </w:r>
      <w:r w:rsidR="00172C01" w:rsidRPr="00CA329C">
        <w:rPr>
          <w:rFonts w:ascii="Bookman Old Style" w:hAnsi="Bookman Old Style"/>
          <w:lang w:val="es-ES"/>
        </w:rPr>
        <w:t>más recientemente en la Ley 2278 de 2022, por la cual se otorgan facultades extraordinarias al Presidente de la República con el fin de garantizar la continuidad a la Función Pública de Control Fiscal al Sistema General de Regalías en el bienio 2023-2024, facultades extraordinarias materializadas a través del Decreto 2651 de 2022, aún vigente, con el cual se creó la planta global de duración temporal de la Contraloría General de la República para la vigilancia y control fiscal de los recursos del Sistema General de Regalías</w:t>
      </w:r>
      <w:r w:rsidR="002E19ED" w:rsidRPr="00CA329C">
        <w:rPr>
          <w:rFonts w:ascii="Bookman Old Style" w:hAnsi="Bookman Old Style"/>
          <w:lang w:val="es-ES"/>
        </w:rPr>
        <w:t>,</w:t>
      </w:r>
      <w:r w:rsidR="00172C01" w:rsidRPr="00CA329C">
        <w:rPr>
          <w:rFonts w:ascii="Bookman Old Style" w:hAnsi="Bookman Old Style"/>
          <w:lang w:val="es-ES"/>
        </w:rPr>
        <w:t xml:space="preserve"> </w:t>
      </w:r>
      <w:r w:rsidR="00105AFA" w:rsidRPr="00CA329C">
        <w:rPr>
          <w:rFonts w:ascii="Bookman Old Style" w:hAnsi="Bookman Old Style"/>
          <w:lang w:val="es-ES"/>
        </w:rPr>
        <w:t xml:space="preserve">que rige </w:t>
      </w:r>
      <w:r w:rsidR="00172C01" w:rsidRPr="00CA329C">
        <w:rPr>
          <w:rFonts w:ascii="Bookman Old Style" w:hAnsi="Bookman Old Style"/>
          <w:lang w:val="es-ES"/>
        </w:rPr>
        <w:t xml:space="preserve">desde el 1 de enero de 2023 </w:t>
      </w:r>
      <w:r w:rsidR="00105AFA" w:rsidRPr="00CA329C">
        <w:rPr>
          <w:rFonts w:ascii="Bookman Old Style" w:hAnsi="Bookman Old Style"/>
          <w:lang w:val="es-ES"/>
        </w:rPr>
        <w:t xml:space="preserve">y </w:t>
      </w:r>
      <w:r w:rsidR="00172C01" w:rsidRPr="00CA329C">
        <w:rPr>
          <w:rFonts w:ascii="Bookman Old Style" w:hAnsi="Bookman Old Style"/>
          <w:lang w:val="es-ES"/>
        </w:rPr>
        <w:t>hasta el</w:t>
      </w:r>
      <w:r w:rsidR="00560DAE" w:rsidRPr="00CA329C">
        <w:rPr>
          <w:rFonts w:ascii="Bookman Old Style" w:hAnsi="Bookman Old Style"/>
          <w:lang w:val="es-ES"/>
        </w:rPr>
        <w:t xml:space="preserve"> próximo </w:t>
      </w:r>
      <w:r w:rsidR="00172C01" w:rsidRPr="00CA329C">
        <w:rPr>
          <w:rFonts w:ascii="Bookman Old Style" w:hAnsi="Bookman Old Style"/>
          <w:lang w:val="es-ES"/>
        </w:rPr>
        <w:t>31 de diciembre de 2024.</w:t>
      </w:r>
      <w:r w:rsidR="00391918" w:rsidRPr="00CA329C">
        <w:rPr>
          <w:rFonts w:ascii="Bookman Old Style" w:hAnsi="Bookman Old Style"/>
          <w:lang w:val="es-ES"/>
        </w:rPr>
        <w:t xml:space="preserve"> </w:t>
      </w:r>
      <w:r w:rsidR="00DA563E" w:rsidRPr="00CA329C">
        <w:rPr>
          <w:rFonts w:ascii="Bookman Old Style" w:hAnsi="Bookman Old Style"/>
          <w:lang w:val="es-ES"/>
        </w:rPr>
        <w:t>Con este e</w:t>
      </w:r>
      <w:r w:rsidR="003E36C9" w:rsidRPr="00CA329C">
        <w:rPr>
          <w:rFonts w:ascii="Bookman Old Style" w:hAnsi="Bookman Old Style"/>
          <w:lang w:val="es-ES"/>
        </w:rPr>
        <w:t>scenario jurídico</w:t>
      </w:r>
      <w:r w:rsidR="001350B5" w:rsidRPr="00CA329C">
        <w:rPr>
          <w:rFonts w:ascii="Bookman Old Style" w:hAnsi="Bookman Old Style"/>
          <w:lang w:val="es-ES"/>
        </w:rPr>
        <w:t xml:space="preserve"> </w:t>
      </w:r>
      <w:r w:rsidR="003E36C9" w:rsidRPr="00CA329C">
        <w:rPr>
          <w:rFonts w:ascii="Bookman Old Style" w:hAnsi="Bookman Old Style"/>
          <w:lang w:val="es-ES"/>
        </w:rPr>
        <w:t>antecedente</w:t>
      </w:r>
      <w:r w:rsidR="00DA563E" w:rsidRPr="00CA329C">
        <w:rPr>
          <w:rFonts w:ascii="Bookman Old Style" w:hAnsi="Bookman Old Style"/>
          <w:lang w:val="es-ES"/>
        </w:rPr>
        <w:t>,</w:t>
      </w:r>
      <w:r w:rsidR="003E36C9" w:rsidRPr="00CA329C">
        <w:rPr>
          <w:rFonts w:ascii="Bookman Old Style" w:hAnsi="Bookman Old Style"/>
          <w:lang w:val="es-ES"/>
        </w:rPr>
        <w:t xml:space="preserve"> cuyos</w:t>
      </w:r>
      <w:r w:rsidR="001350B5" w:rsidRPr="00CA329C">
        <w:rPr>
          <w:rFonts w:ascii="Bookman Old Style" w:hAnsi="Bookman Old Style"/>
          <w:lang w:val="es-ES"/>
        </w:rPr>
        <w:t xml:space="preserve"> fundamentos </w:t>
      </w:r>
      <w:r w:rsidR="00DA563E" w:rsidRPr="00CA329C">
        <w:rPr>
          <w:rFonts w:ascii="Bookman Old Style" w:hAnsi="Bookman Old Style"/>
          <w:lang w:val="es-ES"/>
        </w:rPr>
        <w:t xml:space="preserve">son </w:t>
      </w:r>
      <w:r w:rsidR="001350B5" w:rsidRPr="00CA329C">
        <w:rPr>
          <w:rFonts w:ascii="Bookman Old Style" w:hAnsi="Bookman Old Style"/>
          <w:lang w:val="es-ES"/>
        </w:rPr>
        <w:t>de orden constitucional y legal</w:t>
      </w:r>
      <w:r w:rsidR="00DA563E" w:rsidRPr="00CA329C">
        <w:rPr>
          <w:rFonts w:ascii="Bookman Old Style" w:hAnsi="Bookman Old Style"/>
          <w:lang w:val="es-ES"/>
        </w:rPr>
        <w:t>,</w:t>
      </w:r>
      <w:r w:rsidR="001350B5" w:rsidRPr="00CA329C">
        <w:rPr>
          <w:rFonts w:ascii="Bookman Old Style" w:hAnsi="Bookman Old Style"/>
          <w:lang w:val="es-ES"/>
        </w:rPr>
        <w:t xml:space="preserve"> se </w:t>
      </w:r>
      <w:r w:rsidR="00DA563E" w:rsidRPr="00CA329C">
        <w:rPr>
          <w:rFonts w:ascii="Bookman Old Style" w:hAnsi="Bookman Old Style"/>
          <w:lang w:val="es-ES"/>
        </w:rPr>
        <w:t>sustenta</w:t>
      </w:r>
      <w:r w:rsidRPr="00CA329C">
        <w:rPr>
          <w:rFonts w:ascii="Bookman Old Style" w:hAnsi="Bookman Old Style"/>
          <w:lang w:val="es-ES"/>
        </w:rPr>
        <w:t xml:space="preserve"> la presente iniciativa Legislativa. </w:t>
      </w:r>
    </w:p>
    <w:p w14:paraId="5A8F7961" w14:textId="77777777" w:rsidR="00363DC4" w:rsidRPr="00CA329C" w:rsidRDefault="00363DC4" w:rsidP="00363DC4">
      <w:pPr>
        <w:rPr>
          <w:rFonts w:ascii="Bookman Old Style" w:hAnsi="Bookman Old Style"/>
          <w:lang w:val="es-ES"/>
        </w:rPr>
      </w:pPr>
    </w:p>
    <w:p w14:paraId="4D307752" w14:textId="733CE02F" w:rsidR="00363DC4" w:rsidRPr="00CA329C" w:rsidRDefault="00343A05" w:rsidP="00343A05">
      <w:pPr>
        <w:rPr>
          <w:rFonts w:ascii="Bookman Old Style" w:hAnsi="Bookman Old Style"/>
          <w:b/>
          <w:bCs/>
        </w:rPr>
      </w:pPr>
      <w:bookmarkStart w:id="5" w:name="_Toc175635382"/>
      <w:r w:rsidRPr="00CA329C">
        <w:rPr>
          <w:rFonts w:ascii="Bookman Old Style" w:hAnsi="Bookman Old Style"/>
          <w:b/>
          <w:bCs/>
        </w:rPr>
        <w:t>4</w:t>
      </w:r>
      <w:r w:rsidR="001162B8" w:rsidRPr="00CA329C">
        <w:rPr>
          <w:rFonts w:ascii="Bookman Old Style" w:hAnsi="Bookman Old Style"/>
          <w:b/>
          <w:bCs/>
        </w:rPr>
        <w:t xml:space="preserve">. </w:t>
      </w:r>
      <w:r w:rsidR="00F14A56" w:rsidRPr="00CA329C">
        <w:rPr>
          <w:rFonts w:ascii="Bookman Old Style" w:hAnsi="Bookman Old Style"/>
          <w:b/>
          <w:bCs/>
        </w:rPr>
        <w:t xml:space="preserve">Justificación </w:t>
      </w:r>
      <w:bookmarkEnd w:id="5"/>
      <w:r w:rsidR="00BF5CBB" w:rsidRPr="00CA329C">
        <w:rPr>
          <w:rFonts w:ascii="Bookman Old Style" w:hAnsi="Bookman Old Style"/>
          <w:b/>
          <w:bCs/>
        </w:rPr>
        <w:t>para la</w:t>
      </w:r>
      <w:r w:rsidR="0036114C" w:rsidRPr="00CA329C">
        <w:rPr>
          <w:rFonts w:ascii="Bookman Old Style" w:hAnsi="Bookman Old Style"/>
          <w:b/>
          <w:bCs/>
        </w:rPr>
        <w:t xml:space="preserve"> continuidad de la Planta Temporal</w:t>
      </w:r>
    </w:p>
    <w:p w14:paraId="729546F0" w14:textId="77777777" w:rsidR="00CA0061" w:rsidRPr="00CA329C" w:rsidRDefault="00CA0061" w:rsidP="00CA0061">
      <w:pPr>
        <w:rPr>
          <w:rFonts w:ascii="Bookman Old Style" w:hAnsi="Bookman Old Style"/>
          <w:lang w:val="es-ES"/>
        </w:rPr>
      </w:pPr>
    </w:p>
    <w:p w14:paraId="5A59AD26" w14:textId="479C3ABD" w:rsidR="00BF5CBB" w:rsidRPr="00CA329C" w:rsidRDefault="00BF5CBB" w:rsidP="009A490B">
      <w:pPr>
        <w:jc w:val="both"/>
        <w:rPr>
          <w:rFonts w:ascii="Bookman Old Style" w:hAnsi="Bookman Old Style"/>
          <w:lang w:val="es-ES"/>
        </w:rPr>
      </w:pPr>
      <w:r w:rsidRPr="00CA329C">
        <w:rPr>
          <w:rFonts w:ascii="Bookman Old Style" w:hAnsi="Bookman Old Style"/>
          <w:lang w:val="es-ES"/>
        </w:rPr>
        <w:t xml:space="preserve">Teniendo en cuenta </w:t>
      </w:r>
      <w:r w:rsidR="00514F0D" w:rsidRPr="00CA329C">
        <w:rPr>
          <w:rFonts w:ascii="Bookman Old Style" w:hAnsi="Bookman Old Style"/>
          <w:lang w:val="es-ES"/>
        </w:rPr>
        <w:t xml:space="preserve">el artículo 361 de la Constitución Política, modificado por el Acto Legislativo 05 de 2019 y lo establecido en </w:t>
      </w:r>
      <w:r w:rsidR="00797250" w:rsidRPr="00CA329C">
        <w:rPr>
          <w:rFonts w:ascii="Bookman Old Style" w:hAnsi="Bookman Old Style"/>
          <w:lang w:val="es-ES"/>
        </w:rPr>
        <w:t xml:space="preserve">los artículos 22 y </w:t>
      </w:r>
      <w:r w:rsidRPr="00CA329C">
        <w:rPr>
          <w:rFonts w:ascii="Bookman Old Style" w:hAnsi="Bookman Old Style"/>
          <w:lang w:val="es-ES"/>
        </w:rPr>
        <w:t xml:space="preserve">en el </w:t>
      </w:r>
      <w:r w:rsidR="00DA563E" w:rsidRPr="00CA329C">
        <w:rPr>
          <w:rFonts w:ascii="Bookman Old Style" w:hAnsi="Bookman Old Style"/>
          <w:lang w:val="es-ES"/>
        </w:rPr>
        <w:t>parágrafo 1º</w:t>
      </w:r>
      <w:r w:rsidRPr="00CA329C">
        <w:rPr>
          <w:rFonts w:ascii="Bookman Old Style" w:hAnsi="Bookman Old Style"/>
          <w:lang w:val="es-ES"/>
        </w:rPr>
        <w:t xml:space="preserve"> del artículo </w:t>
      </w:r>
      <w:r w:rsidR="00514F0D" w:rsidRPr="00CA329C">
        <w:rPr>
          <w:rFonts w:ascii="Bookman Old Style" w:hAnsi="Bookman Old Style"/>
          <w:lang w:val="es-ES"/>
        </w:rPr>
        <w:t xml:space="preserve">183 de la Ley 2056 de 2020, </w:t>
      </w:r>
      <w:r w:rsidRPr="00CA329C">
        <w:rPr>
          <w:rFonts w:ascii="Bookman Old Style" w:hAnsi="Bookman Old Style"/>
          <w:lang w:val="es-ES"/>
        </w:rPr>
        <w:t>para garantizar el adecuado ejercicio de las</w:t>
      </w:r>
      <w:r w:rsidR="00782CA3">
        <w:rPr>
          <w:rFonts w:ascii="Bookman Old Style" w:hAnsi="Bookman Old Style"/>
          <w:lang w:val="es-ES"/>
        </w:rPr>
        <w:t xml:space="preserve"> </w:t>
      </w:r>
      <w:r w:rsidRPr="00CA329C">
        <w:rPr>
          <w:rFonts w:ascii="Bookman Old Style" w:hAnsi="Bookman Old Style"/>
          <w:lang w:val="es-ES"/>
        </w:rPr>
        <w:t>funciones de vigilancia y control fiscal, la Contraloría General de la República podrá contar con una planta temporal financiada con el porcentaje de recursos asignado.</w:t>
      </w:r>
    </w:p>
    <w:p w14:paraId="53DF5C58" w14:textId="77777777" w:rsidR="00BF5CBB" w:rsidRPr="00CA329C" w:rsidRDefault="00BF5CBB" w:rsidP="00BF5CBB">
      <w:pPr>
        <w:jc w:val="both"/>
        <w:rPr>
          <w:rFonts w:ascii="Bookman Old Style" w:hAnsi="Bookman Old Style"/>
          <w:lang w:val="es-ES"/>
        </w:rPr>
      </w:pPr>
    </w:p>
    <w:p w14:paraId="5999FE27" w14:textId="1884C64C" w:rsidR="00514F0D" w:rsidRPr="00CA329C" w:rsidRDefault="00BF5CBB" w:rsidP="00BF5CBB">
      <w:pPr>
        <w:jc w:val="both"/>
        <w:rPr>
          <w:rFonts w:ascii="Bookman Old Style" w:hAnsi="Bookman Old Style"/>
          <w:lang w:val="es-ES"/>
        </w:rPr>
      </w:pPr>
      <w:r w:rsidRPr="00CA329C">
        <w:rPr>
          <w:rFonts w:ascii="Bookman Old Style" w:hAnsi="Bookman Old Style"/>
          <w:lang w:val="es-ES"/>
        </w:rPr>
        <w:t xml:space="preserve">Considerando que actualmente la planta creada mediante el Decreto Ley 2651 de 2022 tiene vigencia hasta el 31 de diciembre de 2024, se hace necesario presentar un proyecto de ley que asegure la continuidad a la función pública de control fiscal en el marco del Sistema General de Regalías para el bienio </w:t>
      </w:r>
      <w:r w:rsidRPr="00CA329C">
        <w:rPr>
          <w:rFonts w:ascii="Bookman Old Style" w:hAnsi="Bookman Old Style"/>
          <w:lang w:val="es-ES"/>
        </w:rPr>
        <w:lastRenderedPageBreak/>
        <w:t xml:space="preserve">2025 – 2026, prorrogando la planta vigente, de acuerdo con las disponibilidades presupuestales que se establezcan. </w:t>
      </w:r>
      <w:r w:rsidR="00DA563E" w:rsidRPr="00CA329C">
        <w:rPr>
          <w:rFonts w:ascii="Bookman Old Style" w:hAnsi="Bookman Old Style"/>
          <w:lang w:val="es-ES"/>
        </w:rPr>
        <w:t>Con esto se asegura poder</w:t>
      </w:r>
      <w:r w:rsidR="00811E31" w:rsidRPr="00CA329C">
        <w:rPr>
          <w:rFonts w:ascii="Bookman Old Style" w:hAnsi="Bookman Old Style"/>
          <w:lang w:val="es-ES"/>
        </w:rPr>
        <w:t xml:space="preserve"> </w:t>
      </w:r>
      <w:r w:rsidR="00514F0D" w:rsidRPr="00CA329C">
        <w:rPr>
          <w:rFonts w:ascii="Bookman Old Style" w:hAnsi="Bookman Old Style"/>
          <w:lang w:val="es-ES"/>
        </w:rPr>
        <w:t xml:space="preserve">contemplar futuros ajustes, para suprimir, modificar, refundir o crear empleos en la planta global de duración temporal de la Contraloría General de la República </w:t>
      </w:r>
      <w:r w:rsidR="00811E31" w:rsidRPr="00CA329C">
        <w:rPr>
          <w:rFonts w:ascii="Bookman Old Style" w:hAnsi="Bookman Old Style"/>
          <w:lang w:val="es-ES"/>
        </w:rPr>
        <w:t xml:space="preserve">con el objeto dar continuidad a </w:t>
      </w:r>
      <w:r w:rsidRPr="00CA329C">
        <w:rPr>
          <w:rFonts w:ascii="Bookman Old Style" w:hAnsi="Bookman Old Style"/>
          <w:lang w:val="es-ES"/>
        </w:rPr>
        <w:t xml:space="preserve">dicha </w:t>
      </w:r>
      <w:r w:rsidR="00811E31" w:rsidRPr="00CA329C">
        <w:rPr>
          <w:rFonts w:ascii="Bookman Old Style" w:hAnsi="Bookman Old Style"/>
          <w:lang w:val="es-ES"/>
        </w:rPr>
        <w:t>función pública</w:t>
      </w:r>
      <w:r w:rsidR="00514F0D" w:rsidRPr="00CA329C">
        <w:rPr>
          <w:rFonts w:ascii="Bookman Old Style" w:hAnsi="Bookman Old Style"/>
          <w:lang w:val="es-ES"/>
        </w:rPr>
        <w:t xml:space="preserve">, de acuerdo </w:t>
      </w:r>
      <w:r w:rsidR="00E74A75" w:rsidRPr="00CA329C">
        <w:rPr>
          <w:rFonts w:ascii="Bookman Old Style" w:hAnsi="Bookman Old Style"/>
          <w:lang w:val="es-ES"/>
        </w:rPr>
        <w:t>con</w:t>
      </w:r>
      <w:r w:rsidR="00514F0D" w:rsidRPr="00CA329C">
        <w:rPr>
          <w:rFonts w:ascii="Bookman Old Style" w:hAnsi="Bookman Old Style"/>
          <w:lang w:val="es-ES"/>
        </w:rPr>
        <w:t xml:space="preserve"> las disponibilidades presupuestales que se establezcan posteriormente. </w:t>
      </w:r>
    </w:p>
    <w:p w14:paraId="55F7F45D" w14:textId="77777777" w:rsidR="00BF5CBB" w:rsidRPr="00CA329C" w:rsidRDefault="00BF5CBB" w:rsidP="00BF5CBB">
      <w:pPr>
        <w:jc w:val="both"/>
        <w:rPr>
          <w:rFonts w:ascii="Bookman Old Style" w:hAnsi="Bookman Old Style"/>
          <w:lang w:val="es-ES"/>
        </w:rPr>
      </w:pPr>
    </w:p>
    <w:p w14:paraId="50BB13E5" w14:textId="43936B3B"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Sobre este aspecto, es importante considerar que </w:t>
      </w:r>
      <w:r w:rsidR="009710AC" w:rsidRPr="00CA329C">
        <w:rPr>
          <w:rFonts w:ascii="Bookman Old Style" w:hAnsi="Bookman Old Style"/>
          <w:lang w:val="es-ES"/>
        </w:rPr>
        <w:t>el proyecto de ley de Presupuesto Bienal de regalías está siendo tramitado por el Congreso de la República en paralelo con este proyecto. El pasado</w:t>
      </w:r>
      <w:r w:rsidR="00411E7C" w:rsidRPr="00CA329C">
        <w:rPr>
          <w:rFonts w:ascii="Bookman Old Style" w:hAnsi="Bookman Old Style"/>
          <w:lang w:val="es-ES"/>
        </w:rPr>
        <w:t xml:space="preserve"> </w:t>
      </w:r>
      <w:r w:rsidR="00982336" w:rsidRPr="00CA329C">
        <w:rPr>
          <w:rFonts w:ascii="Bookman Old Style" w:hAnsi="Bookman Old Style"/>
          <w:lang w:val="es-ES"/>
        </w:rPr>
        <w:t>30</w:t>
      </w:r>
      <w:r w:rsidR="00411E7C" w:rsidRPr="00CA329C">
        <w:rPr>
          <w:rFonts w:ascii="Bookman Old Style" w:hAnsi="Bookman Old Style"/>
          <w:lang w:val="es-ES"/>
        </w:rPr>
        <w:t xml:space="preserve"> de octubre se aprobó en Comisiones Económicas Conjuntas el texto de primer debate, el cual se encuentra en la Gaceta 1921 del 12 de noviembre de 2024.</w:t>
      </w:r>
    </w:p>
    <w:p w14:paraId="33F72B82" w14:textId="77777777" w:rsidR="00363DC4" w:rsidRPr="00CA329C" w:rsidRDefault="00363DC4" w:rsidP="00363DC4">
      <w:pPr>
        <w:jc w:val="both"/>
        <w:rPr>
          <w:rFonts w:ascii="Bookman Old Style" w:hAnsi="Bookman Old Style"/>
          <w:lang w:val="es-ES"/>
        </w:rPr>
      </w:pPr>
    </w:p>
    <w:p w14:paraId="2C4CE29C" w14:textId="6CD72C54" w:rsidR="00363DC4" w:rsidRPr="00CA329C" w:rsidRDefault="00411E7C" w:rsidP="00363DC4">
      <w:pPr>
        <w:jc w:val="both"/>
        <w:rPr>
          <w:rFonts w:ascii="Bookman Old Style" w:hAnsi="Bookman Old Style"/>
          <w:lang w:val="es-ES"/>
        </w:rPr>
      </w:pPr>
      <w:r w:rsidRPr="00CA329C">
        <w:rPr>
          <w:rFonts w:ascii="Bookman Old Style" w:hAnsi="Bookman Old Style"/>
          <w:lang w:val="es-ES"/>
        </w:rPr>
        <w:t xml:space="preserve">En dicho texto, se relaciona que </w:t>
      </w:r>
      <w:r w:rsidR="00727AD9" w:rsidRPr="00CA329C">
        <w:rPr>
          <w:rFonts w:ascii="Bookman Old Style" w:hAnsi="Bookman Old Style"/>
          <w:lang w:val="es-ES"/>
        </w:rPr>
        <w:t xml:space="preserve">a </w:t>
      </w:r>
      <w:r w:rsidRPr="00CA329C">
        <w:rPr>
          <w:rFonts w:ascii="Bookman Old Style" w:hAnsi="Bookman Old Style"/>
          <w:lang w:val="es-ES"/>
        </w:rPr>
        <w:t>la Contraloría General de la República</w:t>
      </w:r>
      <w:r w:rsidR="00727AD9" w:rsidRPr="00CA329C">
        <w:rPr>
          <w:rFonts w:ascii="Bookman Old Style" w:hAnsi="Bookman Old Style"/>
          <w:lang w:val="es-ES"/>
        </w:rPr>
        <w:t xml:space="preserve"> le corresponderá $ 127.680.812.139, lo que corresponde al 0,5% del porcentaje destinado para el Sistema de Seguimiento, Evaluación y Control. El proyecto de ley de presupuesto bienal continuará su trámite, y debe ser aprobado </w:t>
      </w:r>
      <w:r w:rsidR="00363DC4" w:rsidRPr="00CA329C">
        <w:rPr>
          <w:rFonts w:ascii="Bookman Old Style" w:hAnsi="Bookman Old Style"/>
          <w:lang w:val="es-ES"/>
        </w:rPr>
        <w:t xml:space="preserve">por parte de las plenarias </w:t>
      </w:r>
      <w:r w:rsidR="00727AD9" w:rsidRPr="00CA329C">
        <w:rPr>
          <w:rFonts w:ascii="Bookman Old Style" w:hAnsi="Bookman Old Style"/>
          <w:lang w:val="es-ES"/>
        </w:rPr>
        <w:t>a más tardar</w:t>
      </w:r>
      <w:r w:rsidR="00363DC4" w:rsidRPr="00CA329C">
        <w:rPr>
          <w:rFonts w:ascii="Bookman Old Style" w:hAnsi="Bookman Old Style"/>
          <w:lang w:val="es-ES"/>
        </w:rPr>
        <w:t xml:space="preserve"> el 5 de diciembre</w:t>
      </w:r>
      <w:r w:rsidR="00727AD9" w:rsidRPr="00CA329C">
        <w:rPr>
          <w:rFonts w:ascii="Bookman Old Style" w:hAnsi="Bookman Old Style"/>
          <w:lang w:val="es-ES"/>
        </w:rPr>
        <w:t xml:space="preserve"> del presente año</w:t>
      </w:r>
      <w:r w:rsidR="00363DC4" w:rsidRPr="00CA329C">
        <w:rPr>
          <w:rFonts w:ascii="Bookman Old Style" w:hAnsi="Bookman Old Style"/>
          <w:lang w:val="es-ES"/>
        </w:rPr>
        <w:t>. En caso de no aprobación por el pleno de ambas cámaras, el Gobierno decretará el texto aprobado en primer debate.</w:t>
      </w:r>
    </w:p>
    <w:p w14:paraId="1C9E3FFC" w14:textId="77777777" w:rsidR="00363DC4" w:rsidRPr="00CA329C" w:rsidRDefault="00363DC4" w:rsidP="00363DC4">
      <w:pPr>
        <w:jc w:val="both"/>
        <w:rPr>
          <w:rFonts w:ascii="Bookman Old Style" w:hAnsi="Bookman Old Style"/>
          <w:lang w:val="es-ES"/>
        </w:rPr>
      </w:pPr>
    </w:p>
    <w:p w14:paraId="478FD670" w14:textId="2CB9B166" w:rsidR="00847819" w:rsidRPr="00CA329C" w:rsidRDefault="00847819" w:rsidP="00847819">
      <w:pPr>
        <w:jc w:val="both"/>
        <w:rPr>
          <w:rFonts w:ascii="Bookman Old Style" w:hAnsi="Bookman Old Style"/>
          <w:lang w:val="es-ES"/>
        </w:rPr>
      </w:pPr>
      <w:r w:rsidRPr="00CA329C">
        <w:rPr>
          <w:rFonts w:ascii="Bookman Old Style" w:hAnsi="Bookman Old Style"/>
          <w:lang w:val="es-ES"/>
        </w:rPr>
        <w:t>Ejemplo de lo anterior, se tiene que la Ley 2279 de 2022, por la cual se decreta el Presupuesto del Sistema General de Regalías para el bienio del 1 ° de enero de 2023 al 31 de diciembre de 2024, se</w:t>
      </w:r>
      <w:r w:rsidRPr="00CA329C">
        <w:rPr>
          <w:rFonts w:ascii="Bookman Old Style" w:hAnsi="Bookman Old Style"/>
        </w:rPr>
        <w:t xml:space="preserve"> público en el </w:t>
      </w:r>
      <w:r w:rsidRPr="00CA329C">
        <w:rPr>
          <w:rFonts w:ascii="Bookman Old Style" w:hAnsi="Bookman Old Style"/>
          <w:lang w:val="es-ES"/>
        </w:rPr>
        <w:t>Diario Oficial No. 52.255 en la fecha 21 de diciembre de 2022.</w:t>
      </w:r>
    </w:p>
    <w:p w14:paraId="34D272EA" w14:textId="77777777" w:rsidR="001B3E4A" w:rsidRPr="00CA329C" w:rsidRDefault="001B3E4A" w:rsidP="00847819">
      <w:pPr>
        <w:jc w:val="both"/>
        <w:rPr>
          <w:rFonts w:ascii="Bookman Old Style" w:hAnsi="Bookman Old Style"/>
          <w:lang w:val="es-ES"/>
        </w:rPr>
      </w:pPr>
    </w:p>
    <w:p w14:paraId="7E095AB2" w14:textId="43ABB031" w:rsidR="00363DC4" w:rsidRPr="00CA329C" w:rsidRDefault="00363DC4" w:rsidP="00363DC4">
      <w:pPr>
        <w:jc w:val="both"/>
        <w:rPr>
          <w:rFonts w:ascii="Bookman Old Style" w:hAnsi="Bookman Old Style"/>
          <w:lang w:val="es-ES"/>
        </w:rPr>
      </w:pPr>
      <w:r w:rsidRPr="00CA329C">
        <w:rPr>
          <w:rFonts w:ascii="Bookman Old Style" w:hAnsi="Bookman Old Style"/>
          <w:lang w:val="es-ES"/>
        </w:rPr>
        <w:t xml:space="preserve">Así, teniendo en cuenta los términos establecidos a nivel legal para el trámite de la Ley de Presupuesto Bienal de Regalías, y la vigencia de la planta temporal de la CGR, se considera necesario </w:t>
      </w:r>
      <w:r w:rsidR="00BF5CBB" w:rsidRPr="00CA329C">
        <w:rPr>
          <w:rFonts w:ascii="Bookman Old Style" w:hAnsi="Bookman Old Style"/>
          <w:lang w:val="es-ES"/>
        </w:rPr>
        <w:t xml:space="preserve">solicitar la prórroga de la planta </w:t>
      </w:r>
      <w:r w:rsidR="00DA563E" w:rsidRPr="00CA329C">
        <w:rPr>
          <w:rFonts w:ascii="Bookman Old Style" w:hAnsi="Bookman Old Style"/>
          <w:lang w:val="es-ES"/>
        </w:rPr>
        <w:t>temporal para</w:t>
      </w:r>
      <w:r w:rsidRPr="00CA329C">
        <w:rPr>
          <w:rFonts w:ascii="Bookman Old Style" w:hAnsi="Bookman Old Style"/>
          <w:lang w:val="es-ES"/>
        </w:rPr>
        <w:t xml:space="preserve"> garantizar </w:t>
      </w:r>
      <w:r w:rsidR="00BF5CBB" w:rsidRPr="00CA329C">
        <w:rPr>
          <w:rFonts w:ascii="Bookman Old Style" w:hAnsi="Bookman Old Style"/>
          <w:lang w:val="es-ES"/>
        </w:rPr>
        <w:t xml:space="preserve">su vigencia hasta el 31 de diciembre de 2026, y así, asegurar </w:t>
      </w:r>
      <w:r w:rsidRPr="00CA329C">
        <w:rPr>
          <w:rFonts w:ascii="Bookman Old Style" w:hAnsi="Bookman Old Style"/>
          <w:lang w:val="es-ES"/>
        </w:rPr>
        <w:t>la continuidad del ejercicio de las funciones de vigilancia y control fiscal en marco del Sistema General de Regalías.</w:t>
      </w:r>
    </w:p>
    <w:p w14:paraId="6B2E77DF" w14:textId="77777777" w:rsidR="001162B8" w:rsidRPr="00CA329C" w:rsidRDefault="001162B8" w:rsidP="00363DC4">
      <w:pPr>
        <w:jc w:val="both"/>
        <w:rPr>
          <w:rFonts w:ascii="Bookman Old Style" w:hAnsi="Bookman Old Style"/>
          <w:lang w:val="es-ES"/>
        </w:rPr>
      </w:pPr>
    </w:p>
    <w:p w14:paraId="0B9F81B8" w14:textId="21064295" w:rsidR="001162B8" w:rsidRPr="00CA329C" w:rsidRDefault="001162B8" w:rsidP="007F3E73">
      <w:pPr>
        <w:pStyle w:val="Ttulo1"/>
        <w:rPr>
          <w:rFonts w:ascii="Bookman Old Style" w:hAnsi="Bookman Old Style"/>
          <w:color w:val="000000" w:themeColor="text1"/>
        </w:rPr>
      </w:pPr>
      <w:bookmarkStart w:id="6" w:name="_Toc175635385"/>
      <w:r w:rsidRPr="00CA329C">
        <w:rPr>
          <w:rFonts w:ascii="Bookman Old Style" w:hAnsi="Bookman Old Style"/>
          <w:color w:val="000000" w:themeColor="text1"/>
        </w:rPr>
        <w:t>5. Informe de Gestión del Grupo de Regalías de la Contraloría General de la República, bienio 2023-2024.</w:t>
      </w:r>
      <w:bookmarkEnd w:id="6"/>
      <w:r w:rsidRPr="00CA329C">
        <w:rPr>
          <w:rFonts w:ascii="Bookman Old Style" w:hAnsi="Bookman Old Style"/>
          <w:color w:val="000000" w:themeColor="text1"/>
        </w:rPr>
        <w:t xml:space="preserve">   </w:t>
      </w:r>
    </w:p>
    <w:p w14:paraId="19B39610" w14:textId="77777777" w:rsidR="00BF3C40" w:rsidRPr="00CA329C" w:rsidRDefault="00BF3C40" w:rsidP="00BF3C40">
      <w:pPr>
        <w:rPr>
          <w:rFonts w:ascii="Bookman Old Style" w:hAnsi="Bookman Old Style"/>
          <w:lang w:val="es-ES"/>
        </w:rPr>
      </w:pPr>
    </w:p>
    <w:p w14:paraId="0441E0BA" w14:textId="4CFBF6F9" w:rsidR="00BF3C40" w:rsidRPr="00CA329C" w:rsidRDefault="00BF3C40" w:rsidP="00BF3C40">
      <w:pPr>
        <w:jc w:val="both"/>
        <w:rPr>
          <w:rFonts w:ascii="Bookman Old Style" w:hAnsi="Bookman Old Style" w:cs="Arial"/>
        </w:rPr>
      </w:pPr>
      <w:r w:rsidRPr="00CA329C">
        <w:rPr>
          <w:rFonts w:ascii="Bookman Old Style" w:hAnsi="Bookman Old Style" w:cs="Arial"/>
        </w:rPr>
        <w:t xml:space="preserve">De acuerdo con el artículo 164 de la Ley 2056 de 2020, el </w:t>
      </w:r>
      <w:r w:rsidR="00A20A54" w:rsidRPr="00CA329C">
        <w:rPr>
          <w:rFonts w:ascii="Bookman Old Style" w:hAnsi="Bookman Old Style" w:cs="Arial"/>
        </w:rPr>
        <w:t>Sistema de Seguimiento, Evaluación y Control -</w:t>
      </w:r>
      <w:r w:rsidRPr="00CA329C">
        <w:rPr>
          <w:rFonts w:ascii="Bookman Old Style" w:hAnsi="Bookman Old Style" w:cs="Arial"/>
        </w:rPr>
        <w:t>SSEC</w:t>
      </w:r>
      <w:r w:rsidR="00A20A54" w:rsidRPr="00CA329C">
        <w:rPr>
          <w:rFonts w:ascii="Bookman Old Style" w:hAnsi="Bookman Old Style" w:cs="Arial"/>
        </w:rPr>
        <w:t>-</w:t>
      </w:r>
      <w:r w:rsidRPr="00CA329C">
        <w:rPr>
          <w:rFonts w:ascii="Bookman Old Style" w:hAnsi="Bookman Old Style" w:cs="Arial"/>
        </w:rPr>
        <w:t xml:space="preserve"> se define como:</w:t>
      </w:r>
    </w:p>
    <w:p w14:paraId="71B0A5DB" w14:textId="77777777" w:rsidR="00BF3C40" w:rsidRPr="00CA329C" w:rsidRDefault="00BF3C40" w:rsidP="00BF3C40">
      <w:pPr>
        <w:jc w:val="both"/>
        <w:rPr>
          <w:rFonts w:ascii="Bookman Old Style" w:hAnsi="Bookman Old Style" w:cs="Arial"/>
          <w:sz w:val="20"/>
          <w:szCs w:val="20"/>
        </w:rPr>
      </w:pPr>
    </w:p>
    <w:p w14:paraId="6E56EFD2" w14:textId="42BA1F53" w:rsidR="00BF3C40" w:rsidRPr="00CA329C" w:rsidRDefault="00BD2307" w:rsidP="00BF3C40">
      <w:pPr>
        <w:ind w:left="720" w:hanging="12"/>
        <w:jc w:val="both"/>
        <w:rPr>
          <w:rFonts w:ascii="Bookman Old Style" w:hAnsi="Bookman Old Style" w:cs="Arial"/>
          <w:sz w:val="20"/>
          <w:szCs w:val="20"/>
        </w:rPr>
      </w:pPr>
      <w:r w:rsidRPr="00CA329C">
        <w:rPr>
          <w:rFonts w:ascii="Bookman Old Style" w:hAnsi="Bookman Old Style" w:cs="Arial"/>
          <w:sz w:val="20"/>
          <w:szCs w:val="20"/>
        </w:rPr>
        <w:t>“(…)  el</w:t>
      </w:r>
      <w:r w:rsidR="00BF3C40" w:rsidRPr="00CA329C">
        <w:rPr>
          <w:rFonts w:ascii="Bookman Old Style" w:hAnsi="Bookman Old Style" w:cs="Arial"/>
          <w:sz w:val="20"/>
          <w:szCs w:val="20"/>
        </w:rPr>
        <w:t xml:space="preserve"> conjunto de actores, normas, procedimientos y actividades que tienen como finalidad velar por el uso eficiente y eficaz de los recursos del Sistema General de Regalías. El Sistema desarrollará funciones de vigilancia y control de carácter administrativo, en ejercicio de la atribución estatal de dirigir en forma general la economía nacional y de la propiedad del Estado sobre los recursos naturales no </w:t>
      </w:r>
      <w:r w:rsidR="00BF3C40" w:rsidRPr="00CA329C">
        <w:rPr>
          <w:rFonts w:ascii="Bookman Old Style" w:hAnsi="Bookman Old Style" w:cs="Arial"/>
          <w:sz w:val="20"/>
          <w:szCs w:val="20"/>
        </w:rPr>
        <w:lastRenderedPageBreak/>
        <w:t>renovables, con enfoque preventivo, sin perjuicio de las funciones que correspondan a las autoridades competentes en materia de inspección, vigilancia y control fiscal o disciplinario; y de investigación, acusación y juzgamiento de carácter penal.</w:t>
      </w:r>
      <w:r w:rsidRPr="00CA329C">
        <w:rPr>
          <w:rFonts w:ascii="Bookman Old Style" w:hAnsi="Bookman Old Style" w:cs="Arial"/>
          <w:sz w:val="20"/>
          <w:szCs w:val="20"/>
        </w:rPr>
        <w:t>”</w:t>
      </w:r>
    </w:p>
    <w:p w14:paraId="3FF996F6" w14:textId="77777777" w:rsidR="009C2FEC" w:rsidRPr="00CA329C" w:rsidRDefault="009C2FEC" w:rsidP="00BF3C40">
      <w:pPr>
        <w:ind w:left="720" w:hanging="12"/>
        <w:jc w:val="both"/>
        <w:rPr>
          <w:rFonts w:ascii="Bookman Old Style" w:hAnsi="Bookman Old Style" w:cs="Arial"/>
        </w:rPr>
      </w:pPr>
    </w:p>
    <w:p w14:paraId="7ED336A5" w14:textId="51A911BE" w:rsidR="003A77A8" w:rsidRPr="00CA329C" w:rsidRDefault="00BF3C40" w:rsidP="00BF3C40">
      <w:pPr>
        <w:jc w:val="both"/>
        <w:rPr>
          <w:rFonts w:ascii="Bookman Old Style" w:hAnsi="Bookman Old Style"/>
        </w:rPr>
      </w:pPr>
      <w:r w:rsidRPr="00CA329C">
        <w:rPr>
          <w:rFonts w:ascii="Bookman Old Style" w:hAnsi="Bookman Old Style"/>
        </w:rPr>
        <w:t>El Departamento Nacional de Planeación, la Contraloría General de la República</w:t>
      </w:r>
      <w:r w:rsidR="003A77A8" w:rsidRPr="00CA329C">
        <w:rPr>
          <w:rFonts w:ascii="Bookman Old Style" w:hAnsi="Bookman Old Style"/>
        </w:rPr>
        <w:t xml:space="preserve"> - CGR</w:t>
      </w:r>
      <w:r w:rsidRPr="00CA329C">
        <w:rPr>
          <w:rFonts w:ascii="Bookman Old Style" w:hAnsi="Bookman Old Style"/>
        </w:rPr>
        <w:t xml:space="preserve"> y la Procuraduría General de la Nación, son las entidades que velan por la debida financiación y uso adecuado de los recursos de regalías, en pro de una mayor gestión y desarrollo socioeconómico en las regiones. </w:t>
      </w:r>
    </w:p>
    <w:p w14:paraId="0EFBC90F" w14:textId="77777777" w:rsidR="003A77A8" w:rsidRPr="00CA329C" w:rsidRDefault="003A77A8" w:rsidP="00BF3C40">
      <w:pPr>
        <w:jc w:val="both"/>
        <w:rPr>
          <w:rFonts w:ascii="Bookman Old Style" w:hAnsi="Bookman Old Style"/>
        </w:rPr>
      </w:pPr>
    </w:p>
    <w:p w14:paraId="7EE584EB" w14:textId="77777777" w:rsidR="00126477" w:rsidRPr="00CA329C" w:rsidRDefault="003A77A8" w:rsidP="009C2FEC">
      <w:pPr>
        <w:jc w:val="both"/>
        <w:rPr>
          <w:rFonts w:ascii="Bookman Old Style" w:hAnsi="Bookman Old Style"/>
        </w:rPr>
      </w:pPr>
      <w:r w:rsidRPr="00CA329C">
        <w:rPr>
          <w:rFonts w:ascii="Bookman Old Style" w:hAnsi="Bookman Old Style"/>
        </w:rPr>
        <w:t>Sí bien el ejercicio de vigilancia y control fiscal realizado por la CGR, se ha llevado cabo a completa cabalidad, la entrada en vigor de la Ley 2056 de 2020 y el alto flujo de capital que trajo la reactivación económica en el país, generó un fuerte incremento en las divisas producto de la explotación de recursos</w:t>
      </w:r>
      <w:r w:rsidR="0069073E" w:rsidRPr="00CA329C">
        <w:rPr>
          <w:rFonts w:ascii="Bookman Old Style" w:hAnsi="Bookman Old Style"/>
        </w:rPr>
        <w:t xml:space="preserve"> </w:t>
      </w:r>
      <w:r w:rsidRPr="00CA329C">
        <w:rPr>
          <w:rFonts w:ascii="Bookman Old Style" w:hAnsi="Bookman Old Style"/>
        </w:rPr>
        <w:t>minero energéticos, trayendo consigo un alto nivel de recursos para el SGR, que fue manifestado en la estructuración de proyectos de inversión como se aprecia a continuación:</w:t>
      </w:r>
    </w:p>
    <w:p w14:paraId="5A92097D" w14:textId="77777777" w:rsidR="00727AD9" w:rsidRPr="00CA329C" w:rsidRDefault="00727AD9" w:rsidP="009C2FEC">
      <w:pPr>
        <w:jc w:val="both"/>
        <w:rPr>
          <w:rFonts w:ascii="Bookman Old Style" w:hAnsi="Bookman Old Style"/>
        </w:rPr>
      </w:pPr>
    </w:p>
    <w:p w14:paraId="7B9E02F3" w14:textId="77777777" w:rsidR="003A77A8" w:rsidRPr="00CA329C" w:rsidRDefault="003A77A8" w:rsidP="003A77A8">
      <w:pPr>
        <w:jc w:val="center"/>
        <w:rPr>
          <w:rFonts w:ascii="Bookman Old Style" w:eastAsiaTheme="majorEastAsia" w:hAnsi="Bookman Old Style" w:cstheme="majorBidi"/>
          <w:i/>
          <w:iCs/>
          <w:sz w:val="18"/>
          <w:szCs w:val="18"/>
        </w:rPr>
      </w:pPr>
      <w:r w:rsidRPr="00CA329C">
        <w:rPr>
          <w:rFonts w:ascii="Bookman Old Style" w:eastAsiaTheme="majorEastAsia" w:hAnsi="Bookman Old Style" w:cstheme="majorBidi"/>
          <w:i/>
          <w:iCs/>
          <w:sz w:val="18"/>
          <w:szCs w:val="18"/>
        </w:rPr>
        <w:t>Gráfica 1. Proyectos SGR aprobados 2012-2023</w:t>
      </w:r>
    </w:p>
    <w:p w14:paraId="03981432" w14:textId="697224B1" w:rsidR="003A77A8" w:rsidRPr="00CA329C" w:rsidRDefault="003A77A8" w:rsidP="00782CA3">
      <w:pPr>
        <w:jc w:val="center"/>
        <w:rPr>
          <w:rFonts w:ascii="Bookman Old Style" w:hAnsi="Bookman Old Style"/>
        </w:rPr>
      </w:pPr>
      <w:r w:rsidRPr="00CA329C">
        <w:rPr>
          <w:rFonts w:ascii="Bookman Old Style" w:hAnsi="Bookman Old Style"/>
          <w:noProof/>
          <w:lang w:val="es-ES_tradnl" w:eastAsia="es-ES_tradnl"/>
        </w:rPr>
        <w:drawing>
          <wp:inline distT="0" distB="0" distL="0" distR="0" wp14:anchorId="7F2334FF" wp14:editId="04B51E37">
            <wp:extent cx="5334745" cy="3200400"/>
            <wp:effectExtent l="0" t="0" r="0" b="0"/>
            <wp:docPr id="1410061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745" cy="3200400"/>
                    </a:xfrm>
                    <a:prstGeom prst="rect">
                      <a:avLst/>
                    </a:prstGeom>
                    <a:noFill/>
                  </pic:spPr>
                </pic:pic>
              </a:graphicData>
            </a:graphic>
          </wp:inline>
        </w:drawing>
      </w:r>
    </w:p>
    <w:p w14:paraId="7C4B690C" w14:textId="77777777" w:rsidR="003A77A8" w:rsidRPr="00CA329C" w:rsidRDefault="003A77A8" w:rsidP="003A77A8">
      <w:pPr>
        <w:jc w:val="both"/>
        <w:rPr>
          <w:rFonts w:ascii="Bookman Old Style" w:eastAsia="Arial" w:hAnsi="Bookman Old Style" w:cs="Arial"/>
          <w:sz w:val="18"/>
          <w:szCs w:val="18"/>
        </w:rPr>
      </w:pPr>
      <w:r w:rsidRPr="00CA329C">
        <w:rPr>
          <w:rFonts w:ascii="Bookman Old Style" w:eastAsia="Arial" w:hAnsi="Bookman Old Style" w:cs="Arial"/>
          <w:b/>
          <w:bCs/>
          <w:sz w:val="18"/>
          <w:szCs w:val="18"/>
        </w:rPr>
        <w:t xml:space="preserve">Fuente: </w:t>
      </w:r>
      <w:r w:rsidRPr="00CA329C">
        <w:rPr>
          <w:rFonts w:ascii="Bookman Old Style" w:eastAsia="Arial" w:hAnsi="Bookman Old Style" w:cs="Arial"/>
          <w:sz w:val="18"/>
          <w:szCs w:val="18"/>
        </w:rPr>
        <w:t>Departamento Nacional de Planeación – SGR. Elaboración propia</w:t>
      </w:r>
    </w:p>
    <w:p w14:paraId="7409FBF9" w14:textId="15D6A39D" w:rsidR="003A77A8" w:rsidRDefault="003A77A8" w:rsidP="003A77A8">
      <w:pPr>
        <w:jc w:val="both"/>
        <w:rPr>
          <w:rFonts w:ascii="Bookman Old Style" w:eastAsia="Arial" w:hAnsi="Bookman Old Style" w:cs="Arial"/>
          <w:b/>
          <w:bCs/>
          <w:sz w:val="18"/>
          <w:szCs w:val="18"/>
        </w:rPr>
      </w:pPr>
    </w:p>
    <w:p w14:paraId="664F8D3B" w14:textId="77777777" w:rsidR="00782CA3" w:rsidRPr="00CA329C" w:rsidRDefault="00782CA3" w:rsidP="003A77A8">
      <w:pPr>
        <w:jc w:val="both"/>
        <w:rPr>
          <w:rFonts w:ascii="Bookman Old Style" w:eastAsia="Arial" w:hAnsi="Bookman Old Style" w:cs="Arial"/>
          <w:b/>
          <w:bCs/>
          <w:sz w:val="18"/>
          <w:szCs w:val="18"/>
        </w:rPr>
      </w:pPr>
    </w:p>
    <w:p w14:paraId="3E148129" w14:textId="77777777" w:rsidR="003A77A8" w:rsidRPr="00CA329C" w:rsidRDefault="003A77A8" w:rsidP="003A77A8">
      <w:pPr>
        <w:jc w:val="both"/>
        <w:rPr>
          <w:rFonts w:ascii="Bookman Old Style" w:hAnsi="Bookman Old Style"/>
        </w:rPr>
      </w:pPr>
      <w:r w:rsidRPr="00CA329C">
        <w:rPr>
          <w:rFonts w:ascii="Bookman Old Style" w:hAnsi="Bookman Old Style"/>
        </w:rPr>
        <w:t xml:space="preserve">En la gráfica 1, podemos apreciar las variaciones que ha traído el número de proyectos aprobados por el Departamento Nacional de Planeación – DNP, durante la vigencia de la Ley 1530 de 2012, teniendo sus picos en los años 2013, 2015 y 2019. No obstante, </w:t>
      </w:r>
      <w:r w:rsidRPr="00CA329C">
        <w:rPr>
          <w:rFonts w:ascii="Bookman Old Style" w:hAnsi="Bookman Old Style"/>
          <w:b/>
          <w:bCs/>
        </w:rPr>
        <w:t>el pico más alto que ha tenido el SGR, se presentó a través de la Ley 2056 de 2020 en la vigencia 2023</w:t>
      </w:r>
      <w:r w:rsidRPr="00CA329C">
        <w:rPr>
          <w:rFonts w:ascii="Bookman Old Style" w:hAnsi="Bookman Old Style"/>
        </w:rPr>
        <w:t>, donde se aprobaron un total de 5.260 proyectos de inversión.</w:t>
      </w:r>
    </w:p>
    <w:p w14:paraId="33ABC58E" w14:textId="77777777" w:rsidR="003A77A8" w:rsidRPr="00CA329C" w:rsidRDefault="003A77A8" w:rsidP="003A77A8">
      <w:pPr>
        <w:jc w:val="both"/>
        <w:rPr>
          <w:rFonts w:ascii="Bookman Old Style" w:hAnsi="Bookman Old Style"/>
        </w:rPr>
      </w:pPr>
    </w:p>
    <w:p w14:paraId="5FC6B33F" w14:textId="77777777" w:rsidR="003A77A8" w:rsidRPr="00CA329C" w:rsidRDefault="003A77A8" w:rsidP="003A77A8">
      <w:pPr>
        <w:jc w:val="both"/>
        <w:rPr>
          <w:rFonts w:ascii="Bookman Old Style" w:hAnsi="Bookman Old Style"/>
        </w:rPr>
      </w:pPr>
      <w:r w:rsidRPr="00CA329C">
        <w:rPr>
          <w:rFonts w:ascii="Bookman Old Style" w:hAnsi="Bookman Old Style"/>
        </w:rPr>
        <w:t xml:space="preserve">Lo anterior, no solamente ha generado un aumento significativo dentro de las secretarias técnicas de planeación, también </w:t>
      </w:r>
      <w:r w:rsidRPr="00CA329C">
        <w:rPr>
          <w:rFonts w:ascii="Bookman Old Style" w:hAnsi="Bookman Old Style"/>
          <w:b/>
          <w:bCs/>
        </w:rPr>
        <w:t>acrecentó el número de denuncias ciudadanas y seguimientos realizados por los órganos de control</w:t>
      </w:r>
      <w:r w:rsidRPr="00CA329C">
        <w:rPr>
          <w:rFonts w:ascii="Bookman Old Style" w:hAnsi="Bookman Old Style"/>
        </w:rPr>
        <w:t xml:space="preserve">, aumentando de manera sustancial, su capacidad operativa para dar respuesta tanto a las necesidades de la población, como la vigilancia de los recursos que son utilizados para el desarrollo socioeconómico de las regiones. </w:t>
      </w:r>
    </w:p>
    <w:p w14:paraId="4A4A48AB" w14:textId="77777777" w:rsidR="00B16B70" w:rsidRPr="00CA329C" w:rsidRDefault="00B16B70" w:rsidP="003A77A8">
      <w:pPr>
        <w:jc w:val="both"/>
        <w:rPr>
          <w:rFonts w:ascii="Bookman Old Style" w:hAnsi="Bookman Old Style"/>
        </w:rPr>
      </w:pPr>
    </w:p>
    <w:p w14:paraId="37EAAA41" w14:textId="77777777" w:rsidR="003A77A8" w:rsidRPr="00CA329C" w:rsidRDefault="003A77A8" w:rsidP="003A77A8">
      <w:pPr>
        <w:jc w:val="both"/>
        <w:rPr>
          <w:rFonts w:ascii="Bookman Old Style" w:hAnsi="Bookman Old Style"/>
        </w:rPr>
      </w:pPr>
      <w:r w:rsidRPr="00CA329C">
        <w:rPr>
          <w:rFonts w:ascii="Bookman Old Style" w:hAnsi="Bookman Old Style"/>
        </w:rPr>
        <w:t xml:space="preserve">Por esta razón, la CGR a través del Grupo Interno de Trabajo para la Vigilancia y Control Fiscal de los recursos del Sistema General de Regalías y la </w:t>
      </w:r>
      <w:r w:rsidRPr="00CA329C">
        <w:rPr>
          <w:rFonts w:ascii="Bookman Old Style" w:eastAsia="Arial" w:hAnsi="Bookman Old Style" w:cs="Arial"/>
          <w:color w:val="000000" w:themeColor="text1"/>
        </w:rPr>
        <w:t>Dirección de Información, Análisis y Reacción Inmediata – DIARI,</w:t>
      </w:r>
      <w:r w:rsidRPr="00CA329C">
        <w:rPr>
          <w:rFonts w:ascii="Bookman Old Style" w:hAnsi="Bookman Old Style"/>
        </w:rPr>
        <w:t xml:space="preserve"> para el año 2023 y lo corrido del I Semestre 2024 ha revisado, por medio de 103 Actuaciones Especiales de Fiscalización y 340 Seguimientos Permanentes, 1.080 proyectos financiados con recursos del Sistema General de Regalías </w:t>
      </w:r>
      <w:r w:rsidRPr="00CA329C">
        <w:rPr>
          <w:rFonts w:ascii="Bookman Old Style" w:hAnsi="Bookman Old Style"/>
          <w:b/>
          <w:bCs/>
        </w:rPr>
        <w:t>por más de $10.37 billones</w:t>
      </w:r>
      <w:r w:rsidRPr="00CA329C">
        <w:rPr>
          <w:rFonts w:ascii="Bookman Old Style" w:hAnsi="Bookman Old Style"/>
        </w:rPr>
        <w:t>, ejecutados por más de 320 Entidades territoriales.</w:t>
      </w:r>
    </w:p>
    <w:p w14:paraId="409251F6" w14:textId="77777777" w:rsidR="003A77A8" w:rsidRPr="00CA329C" w:rsidRDefault="003A77A8" w:rsidP="003A77A8">
      <w:pPr>
        <w:jc w:val="both"/>
        <w:rPr>
          <w:rFonts w:ascii="Bookman Old Style" w:hAnsi="Bookman Old Style"/>
        </w:rPr>
      </w:pPr>
    </w:p>
    <w:p w14:paraId="485F15BF" w14:textId="77777777" w:rsidR="003A77A8" w:rsidRPr="00CA329C" w:rsidRDefault="003A77A8" w:rsidP="003A77A8">
      <w:pPr>
        <w:jc w:val="both"/>
        <w:rPr>
          <w:rFonts w:ascii="Bookman Old Style" w:hAnsi="Bookman Old Style"/>
        </w:rPr>
      </w:pPr>
      <w:r w:rsidRPr="00CA329C">
        <w:rPr>
          <w:rFonts w:ascii="Bookman Old Style" w:hAnsi="Bookman Old Style"/>
        </w:rPr>
        <w:t xml:space="preserve">Para el 2023, se ejecutaron 69 Actuaciones Especiales de Fiscalización y 140 Seguimientos Permanentes, a través de los cuales se revisaron 781 proyectos financiados con recursos del Sistema General de Regalías por cerca de </w:t>
      </w:r>
      <w:r w:rsidRPr="00CA329C">
        <w:rPr>
          <w:rFonts w:ascii="Bookman Old Style" w:hAnsi="Bookman Old Style"/>
          <w:b/>
          <w:bCs/>
        </w:rPr>
        <w:t>$7.97 billones</w:t>
      </w:r>
      <w:r w:rsidRPr="00CA329C">
        <w:rPr>
          <w:rFonts w:ascii="Bookman Old Style" w:hAnsi="Bookman Old Style"/>
        </w:rPr>
        <w:t xml:space="preserve">, más del </w:t>
      </w:r>
      <w:r w:rsidRPr="00CA329C">
        <w:rPr>
          <w:rFonts w:ascii="Bookman Old Style" w:hAnsi="Bookman Old Style"/>
          <w:b/>
          <w:bCs/>
        </w:rPr>
        <w:t>10% de los proyectos aprobados</w:t>
      </w:r>
      <w:r w:rsidRPr="00CA329C">
        <w:rPr>
          <w:rFonts w:ascii="Bookman Old Style" w:hAnsi="Bookman Old Style"/>
        </w:rPr>
        <w:t xml:space="preserve"> en este mismo año.</w:t>
      </w:r>
    </w:p>
    <w:p w14:paraId="02D20FE4" w14:textId="77777777" w:rsidR="003A77A8" w:rsidRPr="00CA329C" w:rsidRDefault="003A77A8" w:rsidP="003A77A8">
      <w:pPr>
        <w:jc w:val="both"/>
        <w:rPr>
          <w:rFonts w:ascii="Bookman Old Style" w:hAnsi="Bookman Old Style"/>
        </w:rPr>
      </w:pPr>
    </w:p>
    <w:p w14:paraId="4FB84697" w14:textId="77777777" w:rsidR="003A77A8"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 xml:space="preserve">De estos, 114 proyectos </w:t>
      </w:r>
      <w:r w:rsidRPr="00CA329C">
        <w:rPr>
          <w:rFonts w:ascii="Bookman Old Style" w:eastAsia="Arial" w:hAnsi="Bookman Old Style" w:cs="Arial"/>
          <w:b/>
          <w:bCs/>
        </w:rPr>
        <w:t>fueron financiados con asignaciones para la Paz por más de $1.2 billones</w:t>
      </w:r>
      <w:r w:rsidRPr="00CA329C">
        <w:rPr>
          <w:rFonts w:ascii="Bookman Old Style" w:eastAsia="Arial" w:hAnsi="Bookman Old Style" w:cs="Arial"/>
        </w:rPr>
        <w:t>, distribuidos por región, así:</w:t>
      </w:r>
    </w:p>
    <w:p w14:paraId="6B78E180" w14:textId="77777777" w:rsidR="003A77A8" w:rsidRPr="00CA329C" w:rsidRDefault="003A77A8" w:rsidP="003A77A8">
      <w:pPr>
        <w:jc w:val="both"/>
        <w:rPr>
          <w:rFonts w:ascii="Bookman Old Style" w:eastAsia="Arial" w:hAnsi="Bookman Old Style" w:cs="Arial"/>
        </w:rPr>
      </w:pPr>
    </w:p>
    <w:p w14:paraId="176FE9C2" w14:textId="77777777" w:rsidR="003A77A8" w:rsidRPr="00CA329C" w:rsidRDefault="003A77A8" w:rsidP="003A77A8">
      <w:pPr>
        <w:jc w:val="center"/>
        <w:rPr>
          <w:rFonts w:ascii="Bookman Old Style" w:eastAsiaTheme="majorEastAsia" w:hAnsi="Bookman Old Style" w:cstheme="majorBidi"/>
          <w:i/>
          <w:iCs/>
          <w:sz w:val="18"/>
          <w:szCs w:val="18"/>
        </w:rPr>
      </w:pPr>
      <w:r w:rsidRPr="00CA329C">
        <w:rPr>
          <w:rFonts w:ascii="Bookman Old Style" w:eastAsiaTheme="majorEastAsia" w:hAnsi="Bookman Old Style" w:cstheme="majorBidi"/>
          <w:i/>
          <w:iCs/>
          <w:sz w:val="18"/>
          <w:szCs w:val="18"/>
        </w:rPr>
        <w:t>Tabla 1. Proyectos auditados OCAD PAZ</w:t>
      </w:r>
    </w:p>
    <w:p w14:paraId="3B676D80" w14:textId="77777777" w:rsidR="003A77A8" w:rsidRPr="00CA329C" w:rsidRDefault="003A77A8" w:rsidP="003A77A8">
      <w:pPr>
        <w:jc w:val="center"/>
        <w:rPr>
          <w:rFonts w:ascii="Bookman Old Style" w:eastAsiaTheme="majorEastAsia" w:hAnsi="Bookman Old Style" w:cstheme="majorBidi"/>
          <w:b/>
          <w:bCs/>
          <w:sz w:val="18"/>
          <w:szCs w:val="18"/>
        </w:rPr>
      </w:pPr>
    </w:p>
    <w:tbl>
      <w:tblPr>
        <w:tblStyle w:val="Tablaconcuadrcula"/>
        <w:tblW w:w="7650" w:type="dxa"/>
        <w:jc w:val="center"/>
        <w:tblLayout w:type="fixed"/>
        <w:tblLook w:val="06A0" w:firstRow="1" w:lastRow="0" w:firstColumn="1" w:lastColumn="0" w:noHBand="1" w:noVBand="1"/>
      </w:tblPr>
      <w:tblGrid>
        <w:gridCol w:w="2127"/>
        <w:gridCol w:w="3119"/>
        <w:gridCol w:w="2404"/>
      </w:tblGrid>
      <w:tr w:rsidR="003A77A8" w:rsidRPr="00CA329C" w14:paraId="55A76672" w14:textId="77777777" w:rsidTr="00C94A51">
        <w:trPr>
          <w:trHeight w:val="57"/>
          <w:jc w:val="center"/>
        </w:trPr>
        <w:tc>
          <w:tcPr>
            <w:tcW w:w="2127" w:type="dxa"/>
          </w:tcPr>
          <w:p w14:paraId="09E09FEB" w14:textId="77777777" w:rsidR="003A77A8" w:rsidRPr="00CA329C" w:rsidRDefault="003A77A8" w:rsidP="00C94A51">
            <w:pPr>
              <w:rPr>
                <w:rFonts w:ascii="Bookman Old Style" w:eastAsia="Arial" w:hAnsi="Bookman Old Style" w:cs="Arial"/>
                <w:b/>
                <w:bCs/>
                <w:sz w:val="18"/>
                <w:szCs w:val="18"/>
              </w:rPr>
            </w:pPr>
            <w:r w:rsidRPr="00CA329C">
              <w:rPr>
                <w:rFonts w:ascii="Bookman Old Style" w:eastAsia="Arial" w:hAnsi="Bookman Old Style" w:cs="Arial"/>
                <w:b/>
                <w:bCs/>
                <w:sz w:val="18"/>
                <w:szCs w:val="18"/>
              </w:rPr>
              <w:t>Región</w:t>
            </w:r>
          </w:p>
        </w:tc>
        <w:tc>
          <w:tcPr>
            <w:tcW w:w="3119" w:type="dxa"/>
          </w:tcPr>
          <w:p w14:paraId="0963BABD" w14:textId="77777777" w:rsidR="003A77A8" w:rsidRPr="00CA329C" w:rsidRDefault="003A77A8" w:rsidP="00C94A51">
            <w:pPr>
              <w:jc w:val="center"/>
              <w:rPr>
                <w:rFonts w:ascii="Bookman Old Style" w:eastAsia="Arial" w:hAnsi="Bookman Old Style" w:cs="Arial"/>
                <w:b/>
                <w:bCs/>
                <w:sz w:val="18"/>
                <w:szCs w:val="18"/>
              </w:rPr>
            </w:pPr>
            <w:r w:rsidRPr="00CA329C">
              <w:rPr>
                <w:rFonts w:ascii="Bookman Old Style" w:eastAsia="Arial" w:hAnsi="Bookman Old Style" w:cs="Arial"/>
                <w:b/>
                <w:bCs/>
                <w:sz w:val="18"/>
                <w:szCs w:val="18"/>
              </w:rPr>
              <w:t>Cantidad de proyectos</w:t>
            </w:r>
          </w:p>
        </w:tc>
        <w:tc>
          <w:tcPr>
            <w:tcW w:w="2404" w:type="dxa"/>
          </w:tcPr>
          <w:p w14:paraId="51FF9942" w14:textId="77777777" w:rsidR="003A77A8" w:rsidRPr="00CA329C" w:rsidRDefault="003A77A8" w:rsidP="00C94A51">
            <w:pPr>
              <w:jc w:val="center"/>
              <w:rPr>
                <w:rFonts w:ascii="Bookman Old Style" w:eastAsia="Arial" w:hAnsi="Bookman Old Style" w:cs="Arial"/>
                <w:b/>
                <w:bCs/>
                <w:sz w:val="18"/>
                <w:szCs w:val="18"/>
              </w:rPr>
            </w:pPr>
            <w:r w:rsidRPr="00CA329C">
              <w:rPr>
                <w:rFonts w:ascii="Bookman Old Style" w:eastAsia="Arial" w:hAnsi="Bookman Old Style" w:cs="Arial"/>
                <w:b/>
                <w:bCs/>
                <w:sz w:val="18"/>
                <w:szCs w:val="18"/>
              </w:rPr>
              <w:t>Valor SGR</w:t>
            </w:r>
          </w:p>
        </w:tc>
      </w:tr>
      <w:tr w:rsidR="003A77A8" w:rsidRPr="00CA329C" w14:paraId="037D6D02" w14:textId="77777777" w:rsidTr="00C94A51">
        <w:trPr>
          <w:trHeight w:val="57"/>
          <w:jc w:val="center"/>
        </w:trPr>
        <w:tc>
          <w:tcPr>
            <w:tcW w:w="2127" w:type="dxa"/>
          </w:tcPr>
          <w:p w14:paraId="12120BB8"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CARIBE</w:t>
            </w:r>
          </w:p>
        </w:tc>
        <w:tc>
          <w:tcPr>
            <w:tcW w:w="3119" w:type="dxa"/>
          </w:tcPr>
          <w:p w14:paraId="59583F53" w14:textId="77777777" w:rsidR="003A77A8" w:rsidRPr="00CA329C" w:rsidRDefault="003A77A8" w:rsidP="00C94A51">
            <w:pPr>
              <w:jc w:val="center"/>
              <w:rPr>
                <w:rFonts w:ascii="Bookman Old Style" w:eastAsia="Arial" w:hAnsi="Bookman Old Style" w:cs="Arial"/>
                <w:sz w:val="18"/>
                <w:szCs w:val="18"/>
              </w:rPr>
            </w:pPr>
            <w:r w:rsidRPr="00CA329C">
              <w:rPr>
                <w:rFonts w:ascii="Bookman Old Style" w:eastAsia="Arial" w:hAnsi="Bookman Old Style" w:cs="Arial"/>
                <w:sz w:val="18"/>
                <w:szCs w:val="18"/>
              </w:rPr>
              <w:t>29</w:t>
            </w:r>
          </w:p>
        </w:tc>
        <w:tc>
          <w:tcPr>
            <w:tcW w:w="2404" w:type="dxa"/>
          </w:tcPr>
          <w:p w14:paraId="298236CF"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$ 516.629.542.821</w:t>
            </w:r>
          </w:p>
        </w:tc>
      </w:tr>
      <w:tr w:rsidR="003A77A8" w:rsidRPr="00CA329C" w14:paraId="02E540C6" w14:textId="77777777" w:rsidTr="00C94A51">
        <w:trPr>
          <w:trHeight w:val="57"/>
          <w:jc w:val="center"/>
        </w:trPr>
        <w:tc>
          <w:tcPr>
            <w:tcW w:w="2127" w:type="dxa"/>
          </w:tcPr>
          <w:p w14:paraId="7DCB95FA"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CENTRO</w:t>
            </w:r>
          </w:p>
        </w:tc>
        <w:tc>
          <w:tcPr>
            <w:tcW w:w="3119" w:type="dxa"/>
          </w:tcPr>
          <w:p w14:paraId="06459721" w14:textId="77777777" w:rsidR="003A77A8" w:rsidRPr="00CA329C" w:rsidRDefault="003A77A8" w:rsidP="00C94A51">
            <w:pPr>
              <w:jc w:val="center"/>
              <w:rPr>
                <w:rFonts w:ascii="Bookman Old Style" w:eastAsia="Arial" w:hAnsi="Bookman Old Style" w:cs="Arial"/>
                <w:sz w:val="18"/>
                <w:szCs w:val="18"/>
              </w:rPr>
            </w:pPr>
            <w:r w:rsidRPr="00CA329C">
              <w:rPr>
                <w:rFonts w:ascii="Bookman Old Style" w:eastAsia="Arial" w:hAnsi="Bookman Old Style" w:cs="Arial"/>
                <w:sz w:val="18"/>
                <w:szCs w:val="18"/>
              </w:rPr>
              <w:t>33</w:t>
            </w:r>
          </w:p>
        </w:tc>
        <w:tc>
          <w:tcPr>
            <w:tcW w:w="2404" w:type="dxa"/>
          </w:tcPr>
          <w:p w14:paraId="36C3717B"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$ 290.002.042.723</w:t>
            </w:r>
          </w:p>
        </w:tc>
      </w:tr>
      <w:tr w:rsidR="003A77A8" w:rsidRPr="00CA329C" w14:paraId="1E217A2F" w14:textId="77777777" w:rsidTr="00C94A51">
        <w:trPr>
          <w:trHeight w:val="57"/>
          <w:jc w:val="center"/>
        </w:trPr>
        <w:tc>
          <w:tcPr>
            <w:tcW w:w="2127" w:type="dxa"/>
          </w:tcPr>
          <w:p w14:paraId="2FF28B2D"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EJE CAFETERO</w:t>
            </w:r>
          </w:p>
        </w:tc>
        <w:tc>
          <w:tcPr>
            <w:tcW w:w="3119" w:type="dxa"/>
          </w:tcPr>
          <w:p w14:paraId="06D20D61" w14:textId="77777777" w:rsidR="003A77A8" w:rsidRPr="00CA329C" w:rsidRDefault="003A77A8" w:rsidP="00C94A51">
            <w:pPr>
              <w:jc w:val="center"/>
              <w:rPr>
                <w:rFonts w:ascii="Bookman Old Style" w:eastAsia="Arial" w:hAnsi="Bookman Old Style" w:cs="Arial"/>
                <w:sz w:val="18"/>
                <w:szCs w:val="18"/>
              </w:rPr>
            </w:pPr>
            <w:r w:rsidRPr="00CA329C">
              <w:rPr>
                <w:rFonts w:ascii="Bookman Old Style" w:eastAsia="Arial" w:hAnsi="Bookman Old Style" w:cs="Arial"/>
                <w:sz w:val="18"/>
                <w:szCs w:val="18"/>
              </w:rPr>
              <w:t>12</w:t>
            </w:r>
          </w:p>
        </w:tc>
        <w:tc>
          <w:tcPr>
            <w:tcW w:w="2404" w:type="dxa"/>
          </w:tcPr>
          <w:p w14:paraId="4357E60E"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$ 87.835.300.501</w:t>
            </w:r>
          </w:p>
        </w:tc>
      </w:tr>
      <w:tr w:rsidR="003A77A8" w:rsidRPr="00CA329C" w14:paraId="2C2233FA" w14:textId="77777777" w:rsidTr="00C94A51">
        <w:trPr>
          <w:trHeight w:val="57"/>
          <w:jc w:val="center"/>
        </w:trPr>
        <w:tc>
          <w:tcPr>
            <w:tcW w:w="2127" w:type="dxa"/>
          </w:tcPr>
          <w:p w14:paraId="0559216A"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LLANOS</w:t>
            </w:r>
          </w:p>
        </w:tc>
        <w:tc>
          <w:tcPr>
            <w:tcW w:w="3119" w:type="dxa"/>
          </w:tcPr>
          <w:p w14:paraId="476385CC" w14:textId="77777777" w:rsidR="003A77A8" w:rsidRPr="00CA329C" w:rsidRDefault="003A77A8" w:rsidP="00C94A51">
            <w:pPr>
              <w:jc w:val="center"/>
              <w:rPr>
                <w:rFonts w:ascii="Bookman Old Style" w:eastAsia="Arial" w:hAnsi="Bookman Old Style" w:cs="Arial"/>
                <w:sz w:val="18"/>
                <w:szCs w:val="18"/>
              </w:rPr>
            </w:pPr>
            <w:r w:rsidRPr="00CA329C">
              <w:rPr>
                <w:rFonts w:ascii="Bookman Old Style" w:eastAsia="Arial" w:hAnsi="Bookman Old Style" w:cs="Arial"/>
                <w:sz w:val="18"/>
                <w:szCs w:val="18"/>
              </w:rPr>
              <w:t>18</w:t>
            </w:r>
          </w:p>
        </w:tc>
        <w:tc>
          <w:tcPr>
            <w:tcW w:w="2404" w:type="dxa"/>
          </w:tcPr>
          <w:p w14:paraId="5010B5FB"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$ 155.078.118.722</w:t>
            </w:r>
          </w:p>
        </w:tc>
      </w:tr>
      <w:tr w:rsidR="003A77A8" w:rsidRPr="00CA329C" w14:paraId="1AA107AC" w14:textId="77777777" w:rsidTr="00C94A51">
        <w:trPr>
          <w:trHeight w:val="57"/>
          <w:jc w:val="center"/>
        </w:trPr>
        <w:tc>
          <w:tcPr>
            <w:tcW w:w="2127" w:type="dxa"/>
          </w:tcPr>
          <w:p w14:paraId="3730D6D6"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PACIFICO</w:t>
            </w:r>
          </w:p>
        </w:tc>
        <w:tc>
          <w:tcPr>
            <w:tcW w:w="3119" w:type="dxa"/>
          </w:tcPr>
          <w:p w14:paraId="67AEA17D" w14:textId="77777777" w:rsidR="003A77A8" w:rsidRPr="00CA329C" w:rsidRDefault="003A77A8" w:rsidP="00C94A51">
            <w:pPr>
              <w:jc w:val="center"/>
              <w:rPr>
                <w:rFonts w:ascii="Bookman Old Style" w:eastAsia="Arial" w:hAnsi="Bookman Old Style" w:cs="Arial"/>
                <w:sz w:val="18"/>
                <w:szCs w:val="18"/>
              </w:rPr>
            </w:pPr>
            <w:r w:rsidRPr="00CA329C">
              <w:rPr>
                <w:rFonts w:ascii="Bookman Old Style" w:eastAsia="Arial" w:hAnsi="Bookman Old Style" w:cs="Arial"/>
                <w:sz w:val="18"/>
                <w:szCs w:val="18"/>
              </w:rPr>
              <w:t>22</w:t>
            </w:r>
          </w:p>
        </w:tc>
        <w:tc>
          <w:tcPr>
            <w:tcW w:w="2404" w:type="dxa"/>
          </w:tcPr>
          <w:p w14:paraId="317618C5" w14:textId="77777777" w:rsidR="003A77A8" w:rsidRPr="00CA329C" w:rsidRDefault="003A77A8" w:rsidP="00C94A51">
            <w:pPr>
              <w:rPr>
                <w:rFonts w:ascii="Bookman Old Style" w:eastAsia="Arial" w:hAnsi="Bookman Old Style" w:cs="Arial"/>
                <w:sz w:val="18"/>
                <w:szCs w:val="18"/>
              </w:rPr>
            </w:pPr>
            <w:r w:rsidRPr="00CA329C">
              <w:rPr>
                <w:rFonts w:ascii="Bookman Old Style" w:eastAsia="Arial" w:hAnsi="Bookman Old Style" w:cs="Arial"/>
                <w:sz w:val="18"/>
                <w:szCs w:val="18"/>
              </w:rPr>
              <w:t>$ 245.511.245.978</w:t>
            </w:r>
          </w:p>
        </w:tc>
      </w:tr>
      <w:tr w:rsidR="003A77A8" w:rsidRPr="00CA329C" w14:paraId="1F52971E" w14:textId="77777777" w:rsidTr="00C94A51">
        <w:trPr>
          <w:trHeight w:val="57"/>
          <w:jc w:val="center"/>
        </w:trPr>
        <w:tc>
          <w:tcPr>
            <w:tcW w:w="2127" w:type="dxa"/>
          </w:tcPr>
          <w:p w14:paraId="2EB01D9D" w14:textId="77777777" w:rsidR="003A77A8" w:rsidRPr="00CA329C" w:rsidRDefault="003A77A8" w:rsidP="00C94A51">
            <w:pPr>
              <w:rPr>
                <w:rFonts w:ascii="Bookman Old Style" w:eastAsia="Arial" w:hAnsi="Bookman Old Style" w:cs="Arial"/>
                <w:b/>
                <w:bCs/>
                <w:sz w:val="18"/>
                <w:szCs w:val="18"/>
              </w:rPr>
            </w:pPr>
            <w:proofErr w:type="gramStart"/>
            <w:r w:rsidRPr="00CA329C">
              <w:rPr>
                <w:rFonts w:ascii="Bookman Old Style" w:eastAsia="Arial" w:hAnsi="Bookman Old Style" w:cs="Arial"/>
                <w:b/>
                <w:bCs/>
                <w:sz w:val="18"/>
                <w:szCs w:val="18"/>
              </w:rPr>
              <w:t>Total</w:t>
            </w:r>
            <w:proofErr w:type="gramEnd"/>
            <w:r w:rsidRPr="00CA329C">
              <w:rPr>
                <w:rFonts w:ascii="Bookman Old Style" w:eastAsia="Arial" w:hAnsi="Bookman Old Style" w:cs="Arial"/>
                <w:b/>
                <w:bCs/>
                <w:sz w:val="18"/>
                <w:szCs w:val="18"/>
              </w:rPr>
              <w:t xml:space="preserve"> general</w:t>
            </w:r>
          </w:p>
        </w:tc>
        <w:tc>
          <w:tcPr>
            <w:tcW w:w="3119" w:type="dxa"/>
          </w:tcPr>
          <w:p w14:paraId="356CD87E" w14:textId="77777777" w:rsidR="003A77A8" w:rsidRPr="00CA329C" w:rsidRDefault="003A77A8" w:rsidP="00C94A51">
            <w:pPr>
              <w:jc w:val="center"/>
              <w:rPr>
                <w:rFonts w:ascii="Bookman Old Style" w:eastAsia="Arial" w:hAnsi="Bookman Old Style" w:cs="Arial"/>
                <w:b/>
                <w:bCs/>
                <w:sz w:val="18"/>
                <w:szCs w:val="18"/>
              </w:rPr>
            </w:pPr>
            <w:r w:rsidRPr="00CA329C">
              <w:rPr>
                <w:rFonts w:ascii="Bookman Old Style" w:eastAsia="Arial" w:hAnsi="Bookman Old Style" w:cs="Arial"/>
                <w:b/>
                <w:bCs/>
                <w:sz w:val="18"/>
                <w:szCs w:val="18"/>
              </w:rPr>
              <w:t>114</w:t>
            </w:r>
          </w:p>
        </w:tc>
        <w:tc>
          <w:tcPr>
            <w:tcW w:w="2404" w:type="dxa"/>
          </w:tcPr>
          <w:p w14:paraId="2BBA260D" w14:textId="77777777" w:rsidR="003A77A8" w:rsidRPr="00CA329C" w:rsidRDefault="003A77A8" w:rsidP="00C94A51">
            <w:pPr>
              <w:rPr>
                <w:rFonts w:ascii="Bookman Old Style" w:eastAsia="Arial" w:hAnsi="Bookman Old Style" w:cs="Arial"/>
                <w:b/>
                <w:bCs/>
                <w:sz w:val="18"/>
                <w:szCs w:val="18"/>
              </w:rPr>
            </w:pPr>
            <w:r w:rsidRPr="00CA329C">
              <w:rPr>
                <w:rFonts w:ascii="Bookman Old Style" w:eastAsia="Arial" w:hAnsi="Bookman Old Style" w:cs="Arial"/>
                <w:b/>
                <w:bCs/>
                <w:sz w:val="18"/>
                <w:szCs w:val="18"/>
              </w:rPr>
              <w:t>$ 1.295.056.250.744</w:t>
            </w:r>
          </w:p>
        </w:tc>
      </w:tr>
    </w:tbl>
    <w:p w14:paraId="3A9530F7" w14:textId="77777777" w:rsidR="003A77A8" w:rsidRPr="00CA329C" w:rsidRDefault="003A77A8" w:rsidP="003A77A8">
      <w:pPr>
        <w:jc w:val="both"/>
        <w:rPr>
          <w:rFonts w:ascii="Bookman Old Style" w:eastAsia="Arial" w:hAnsi="Bookman Old Style" w:cs="Arial"/>
          <w:sz w:val="18"/>
          <w:szCs w:val="18"/>
        </w:rPr>
      </w:pPr>
      <w:r w:rsidRPr="00CA329C">
        <w:rPr>
          <w:rFonts w:ascii="Bookman Old Style" w:eastAsia="Arial" w:hAnsi="Bookman Old Style" w:cs="Arial"/>
          <w:b/>
          <w:bCs/>
          <w:sz w:val="18"/>
          <w:szCs w:val="18"/>
        </w:rPr>
        <w:t xml:space="preserve">Fuente: </w:t>
      </w:r>
      <w:r w:rsidRPr="00CA329C">
        <w:rPr>
          <w:rFonts w:ascii="Bookman Old Style" w:eastAsia="Arial" w:hAnsi="Bookman Old Style" w:cs="Arial"/>
          <w:sz w:val="18"/>
          <w:szCs w:val="18"/>
        </w:rPr>
        <w:t>Elaboración propia</w:t>
      </w:r>
    </w:p>
    <w:p w14:paraId="08845717" w14:textId="77777777" w:rsidR="003A77A8" w:rsidRPr="00CA329C" w:rsidRDefault="003A77A8" w:rsidP="003A77A8">
      <w:pPr>
        <w:jc w:val="both"/>
        <w:rPr>
          <w:rFonts w:ascii="Bookman Old Style" w:eastAsia="Arial" w:hAnsi="Bookman Old Style" w:cs="Arial"/>
        </w:rPr>
      </w:pPr>
    </w:p>
    <w:p w14:paraId="580DBB49" w14:textId="77777777" w:rsidR="003A77A8"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 xml:space="preserve">Los cinco sectores de mayor representación de los proyectos revisados en </w:t>
      </w:r>
      <w:bookmarkStart w:id="7" w:name="_Int_fVuyZPtv"/>
      <w:r w:rsidRPr="00CA329C">
        <w:rPr>
          <w:rFonts w:ascii="Bookman Old Style" w:eastAsia="Arial" w:hAnsi="Bookman Old Style" w:cs="Arial"/>
        </w:rPr>
        <w:t>2023,</w:t>
      </w:r>
      <w:bookmarkEnd w:id="7"/>
      <w:r w:rsidRPr="00CA329C">
        <w:rPr>
          <w:rFonts w:ascii="Bookman Old Style" w:eastAsia="Arial" w:hAnsi="Bookman Old Style" w:cs="Arial"/>
        </w:rPr>
        <w:t xml:space="preserve"> fueron: Transporte 34%, Minas y Energía 20%, Educación 12%, Vivienda, Ciudad y Territorio 8% y Agricultura y Desarrollo Rural con el 5% del total de los proyectos.</w:t>
      </w:r>
    </w:p>
    <w:p w14:paraId="21D6C69F" w14:textId="77777777" w:rsidR="003A77A8" w:rsidRPr="00CA329C" w:rsidRDefault="003A77A8" w:rsidP="003A77A8">
      <w:pPr>
        <w:jc w:val="both"/>
        <w:rPr>
          <w:rFonts w:ascii="Bookman Old Style" w:eastAsia="Arial" w:hAnsi="Bookman Old Style" w:cs="Arial"/>
        </w:rPr>
      </w:pPr>
    </w:p>
    <w:p w14:paraId="4FB1D980" w14:textId="5E1A742C" w:rsidR="003A77A8"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 xml:space="preserve">Al cierre de la vigencia 2023, el GIT para la Vigilancia y Control Fiscal de los recursos del Sistema General de Regalías </w:t>
      </w:r>
      <w:r w:rsidRPr="00CA329C">
        <w:rPr>
          <w:rFonts w:ascii="Bookman Old Style" w:eastAsia="Arial" w:hAnsi="Bookman Old Style" w:cs="Arial"/>
          <w:b/>
          <w:bCs/>
        </w:rPr>
        <w:t>logró consolidar 362 hallazgos con incidencia Fiscal, por más de $629.353 millones,</w:t>
      </w:r>
      <w:r w:rsidRPr="00CA329C">
        <w:rPr>
          <w:rFonts w:ascii="Bookman Old Style" w:eastAsia="Arial" w:hAnsi="Bookman Old Style" w:cs="Arial"/>
        </w:rPr>
        <w:t xml:space="preserve"> resultado de proyectos revisados en el marco del Plan Nacional de Vigilancia y Control Fiscal y atención a denuncias ciudadanas.</w:t>
      </w:r>
    </w:p>
    <w:p w14:paraId="116F7971" w14:textId="77777777" w:rsidR="00782CA3" w:rsidRPr="00CA329C" w:rsidRDefault="00782CA3" w:rsidP="003A77A8">
      <w:pPr>
        <w:rPr>
          <w:rFonts w:ascii="Bookman Old Style" w:eastAsiaTheme="majorEastAsia" w:hAnsi="Bookman Old Style" w:cstheme="majorBidi"/>
          <w:i/>
          <w:iCs/>
          <w:sz w:val="18"/>
          <w:szCs w:val="18"/>
        </w:rPr>
      </w:pPr>
    </w:p>
    <w:p w14:paraId="26D92AF5" w14:textId="77777777" w:rsidR="003A77A8" w:rsidRPr="00CA329C" w:rsidRDefault="003A77A8" w:rsidP="003A77A8">
      <w:pPr>
        <w:jc w:val="center"/>
        <w:rPr>
          <w:rFonts w:ascii="Bookman Old Style" w:eastAsiaTheme="majorEastAsia" w:hAnsi="Bookman Old Style" w:cstheme="majorBidi"/>
          <w:i/>
          <w:iCs/>
          <w:sz w:val="18"/>
          <w:szCs w:val="18"/>
        </w:rPr>
      </w:pPr>
      <w:r w:rsidRPr="00CA329C">
        <w:rPr>
          <w:rFonts w:ascii="Bookman Old Style" w:eastAsiaTheme="majorEastAsia" w:hAnsi="Bookman Old Style" w:cstheme="majorBidi"/>
          <w:i/>
          <w:iCs/>
          <w:sz w:val="18"/>
          <w:szCs w:val="18"/>
        </w:rPr>
        <w:t>Tabla 2. Consolidado total de Hallazgos por Región 2023</w:t>
      </w:r>
    </w:p>
    <w:p w14:paraId="7451B445" w14:textId="77777777" w:rsidR="003A77A8" w:rsidRPr="00CA329C" w:rsidRDefault="003A77A8" w:rsidP="003A77A8">
      <w:pPr>
        <w:jc w:val="center"/>
        <w:rPr>
          <w:rFonts w:ascii="Bookman Old Style" w:eastAsiaTheme="majorEastAsia" w:hAnsi="Bookman Old Style" w:cstheme="majorBidi"/>
          <w:b/>
          <w:bCs/>
          <w:sz w:val="18"/>
          <w:szCs w:val="18"/>
        </w:rPr>
      </w:pPr>
    </w:p>
    <w:tbl>
      <w:tblPr>
        <w:tblStyle w:val="Tablaconcuadrcula"/>
        <w:tblW w:w="9918" w:type="dxa"/>
        <w:jc w:val="center"/>
        <w:tblLayout w:type="fixed"/>
        <w:tblLook w:val="06A0" w:firstRow="1" w:lastRow="0" w:firstColumn="1" w:lastColumn="0" w:noHBand="1" w:noVBand="1"/>
      </w:tblPr>
      <w:tblGrid>
        <w:gridCol w:w="3114"/>
        <w:gridCol w:w="1559"/>
        <w:gridCol w:w="567"/>
        <w:gridCol w:w="567"/>
        <w:gridCol w:w="567"/>
        <w:gridCol w:w="567"/>
        <w:gridCol w:w="1418"/>
        <w:gridCol w:w="1559"/>
      </w:tblGrid>
      <w:tr w:rsidR="003A77A8" w:rsidRPr="00782CA3" w14:paraId="57896B84" w14:textId="77777777" w:rsidTr="00782CA3">
        <w:trPr>
          <w:trHeight w:val="20"/>
          <w:jc w:val="center"/>
        </w:trPr>
        <w:tc>
          <w:tcPr>
            <w:tcW w:w="3114" w:type="dxa"/>
            <w:vAlign w:val="center"/>
          </w:tcPr>
          <w:p w14:paraId="7D7DAEE7" w14:textId="77777777"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REGIÓN</w:t>
            </w:r>
          </w:p>
        </w:tc>
        <w:tc>
          <w:tcPr>
            <w:tcW w:w="1559" w:type="dxa"/>
            <w:vAlign w:val="center"/>
          </w:tcPr>
          <w:p w14:paraId="59ABCD3A" w14:textId="77777777"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Valor H. Fiscales</w:t>
            </w:r>
          </w:p>
        </w:tc>
        <w:tc>
          <w:tcPr>
            <w:tcW w:w="567" w:type="dxa"/>
            <w:vAlign w:val="center"/>
          </w:tcPr>
          <w:p w14:paraId="562ECE24" w14:textId="593F4AD8" w:rsidR="003A77A8" w:rsidRPr="00782CA3" w:rsidRDefault="003A77A8" w:rsidP="00782CA3">
            <w:pPr>
              <w:jc w:val="center"/>
              <w:rPr>
                <w:rFonts w:ascii="Arial Narrow" w:hAnsi="Arial Narrow"/>
                <w:sz w:val="18"/>
                <w:szCs w:val="18"/>
              </w:rPr>
            </w:pPr>
            <w:r w:rsidRPr="00782CA3">
              <w:rPr>
                <w:rFonts w:ascii="Arial Narrow" w:hAnsi="Arial Narrow"/>
                <w:b/>
                <w:bCs/>
                <w:sz w:val="18"/>
                <w:szCs w:val="18"/>
              </w:rPr>
              <w:t>#</w:t>
            </w:r>
            <w:r w:rsidR="00782CA3">
              <w:rPr>
                <w:rFonts w:ascii="Arial Narrow" w:hAnsi="Arial Narrow"/>
                <w:b/>
                <w:bCs/>
                <w:sz w:val="18"/>
                <w:szCs w:val="18"/>
              </w:rPr>
              <w:t xml:space="preserve"> </w:t>
            </w:r>
            <w:r w:rsidRPr="00782CA3">
              <w:rPr>
                <w:rFonts w:ascii="Arial Narrow" w:hAnsi="Arial Narrow"/>
                <w:b/>
                <w:bCs/>
                <w:sz w:val="18"/>
                <w:szCs w:val="18"/>
              </w:rPr>
              <w:t xml:space="preserve">F </w:t>
            </w:r>
            <w:r w:rsidRPr="00782CA3">
              <w:rPr>
                <w:rStyle w:val="Refdenotaalpie"/>
                <w:rFonts w:ascii="Arial Narrow" w:hAnsi="Arial Narrow"/>
                <w:sz w:val="18"/>
                <w:szCs w:val="18"/>
              </w:rPr>
              <w:footnoteReference w:id="1"/>
            </w:r>
          </w:p>
        </w:tc>
        <w:tc>
          <w:tcPr>
            <w:tcW w:w="567" w:type="dxa"/>
            <w:vAlign w:val="center"/>
          </w:tcPr>
          <w:p w14:paraId="5CA72F71" w14:textId="616FB323"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 xml:space="preserve"># D </w:t>
            </w:r>
            <w:r w:rsidRPr="00782CA3">
              <w:rPr>
                <w:rStyle w:val="Refdenotaalpie"/>
                <w:rFonts w:ascii="Arial Narrow" w:hAnsi="Arial Narrow"/>
                <w:sz w:val="18"/>
                <w:szCs w:val="18"/>
              </w:rPr>
              <w:footnoteReference w:id="2"/>
            </w:r>
          </w:p>
        </w:tc>
        <w:tc>
          <w:tcPr>
            <w:tcW w:w="567" w:type="dxa"/>
            <w:vAlign w:val="center"/>
          </w:tcPr>
          <w:p w14:paraId="14D3DF44" w14:textId="1EC86B4B"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 xml:space="preserve"># P </w:t>
            </w:r>
            <w:r w:rsidRPr="00782CA3">
              <w:rPr>
                <w:rStyle w:val="Refdenotaalpie"/>
                <w:rFonts w:ascii="Arial Narrow" w:hAnsi="Arial Narrow"/>
                <w:sz w:val="18"/>
                <w:szCs w:val="18"/>
              </w:rPr>
              <w:footnoteReference w:id="3"/>
            </w:r>
          </w:p>
        </w:tc>
        <w:tc>
          <w:tcPr>
            <w:tcW w:w="567" w:type="dxa"/>
            <w:vAlign w:val="center"/>
          </w:tcPr>
          <w:p w14:paraId="1F28E5AF" w14:textId="75A9512E"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 xml:space="preserve"># A </w:t>
            </w:r>
            <w:r w:rsidRPr="00782CA3">
              <w:rPr>
                <w:rStyle w:val="Refdenotaalpie"/>
                <w:rFonts w:ascii="Arial Narrow" w:hAnsi="Arial Narrow"/>
                <w:sz w:val="18"/>
                <w:szCs w:val="18"/>
              </w:rPr>
              <w:footnoteReference w:id="4"/>
            </w:r>
          </w:p>
        </w:tc>
        <w:tc>
          <w:tcPr>
            <w:tcW w:w="1418" w:type="dxa"/>
            <w:vAlign w:val="center"/>
          </w:tcPr>
          <w:p w14:paraId="7F0023F7" w14:textId="77777777"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Valor Beneficio Aprobado</w:t>
            </w:r>
          </w:p>
        </w:tc>
        <w:tc>
          <w:tcPr>
            <w:tcW w:w="1559" w:type="dxa"/>
            <w:vAlign w:val="center"/>
          </w:tcPr>
          <w:p w14:paraId="4370C02E" w14:textId="77777777" w:rsidR="003A77A8" w:rsidRPr="00782CA3" w:rsidRDefault="003A77A8" w:rsidP="00C94A51">
            <w:pPr>
              <w:jc w:val="center"/>
              <w:rPr>
                <w:rFonts w:ascii="Arial Narrow" w:hAnsi="Arial Narrow"/>
                <w:sz w:val="18"/>
                <w:szCs w:val="18"/>
              </w:rPr>
            </w:pPr>
            <w:proofErr w:type="gramStart"/>
            <w:r w:rsidRPr="00782CA3">
              <w:rPr>
                <w:rFonts w:ascii="Arial Narrow" w:hAnsi="Arial Narrow"/>
                <w:b/>
                <w:bCs/>
                <w:sz w:val="18"/>
                <w:szCs w:val="18"/>
              </w:rPr>
              <w:t>Total</w:t>
            </w:r>
            <w:proofErr w:type="gramEnd"/>
            <w:r w:rsidRPr="00782CA3">
              <w:rPr>
                <w:rFonts w:ascii="Arial Narrow" w:hAnsi="Arial Narrow"/>
                <w:b/>
                <w:bCs/>
                <w:sz w:val="18"/>
                <w:szCs w:val="18"/>
              </w:rPr>
              <w:t xml:space="preserve"> Ejercicio Auditor</w:t>
            </w:r>
          </w:p>
        </w:tc>
      </w:tr>
      <w:tr w:rsidR="003A77A8" w:rsidRPr="00782CA3" w14:paraId="3A24B683" w14:textId="77777777" w:rsidTr="00782CA3">
        <w:trPr>
          <w:trHeight w:val="20"/>
          <w:jc w:val="center"/>
        </w:trPr>
        <w:tc>
          <w:tcPr>
            <w:tcW w:w="3114" w:type="dxa"/>
          </w:tcPr>
          <w:p w14:paraId="4DEE99BE"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CARIBE</w:t>
            </w:r>
          </w:p>
        </w:tc>
        <w:tc>
          <w:tcPr>
            <w:tcW w:w="1559" w:type="dxa"/>
          </w:tcPr>
          <w:p w14:paraId="558CF25A"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$ 177.367.055.500</w:t>
            </w:r>
          </w:p>
        </w:tc>
        <w:tc>
          <w:tcPr>
            <w:tcW w:w="567" w:type="dxa"/>
          </w:tcPr>
          <w:p w14:paraId="1B3A48DB"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97</w:t>
            </w:r>
          </w:p>
        </w:tc>
        <w:tc>
          <w:tcPr>
            <w:tcW w:w="567" w:type="dxa"/>
          </w:tcPr>
          <w:p w14:paraId="2609AB17"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109</w:t>
            </w:r>
          </w:p>
        </w:tc>
        <w:tc>
          <w:tcPr>
            <w:tcW w:w="567" w:type="dxa"/>
          </w:tcPr>
          <w:p w14:paraId="5BF5474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6</w:t>
            </w:r>
          </w:p>
        </w:tc>
        <w:tc>
          <w:tcPr>
            <w:tcW w:w="567" w:type="dxa"/>
          </w:tcPr>
          <w:p w14:paraId="6BBD4CC8"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115</w:t>
            </w:r>
          </w:p>
        </w:tc>
        <w:tc>
          <w:tcPr>
            <w:tcW w:w="1418" w:type="dxa"/>
          </w:tcPr>
          <w:p w14:paraId="58377F81"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$ 1.196.529.748</w:t>
            </w:r>
          </w:p>
        </w:tc>
        <w:tc>
          <w:tcPr>
            <w:tcW w:w="1559" w:type="dxa"/>
          </w:tcPr>
          <w:p w14:paraId="64235299"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$ 178.563.585.248</w:t>
            </w:r>
          </w:p>
        </w:tc>
      </w:tr>
      <w:tr w:rsidR="003A77A8" w:rsidRPr="00782CA3" w14:paraId="7AF5D5BC" w14:textId="77777777" w:rsidTr="00782CA3">
        <w:trPr>
          <w:trHeight w:val="20"/>
          <w:jc w:val="center"/>
        </w:trPr>
        <w:tc>
          <w:tcPr>
            <w:tcW w:w="3114" w:type="dxa"/>
          </w:tcPr>
          <w:p w14:paraId="2D7A8DE4"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CENTRO</w:t>
            </w:r>
          </w:p>
        </w:tc>
        <w:tc>
          <w:tcPr>
            <w:tcW w:w="1559" w:type="dxa"/>
          </w:tcPr>
          <w:p w14:paraId="51A2368C"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$ 153.186.905.664</w:t>
            </w:r>
          </w:p>
        </w:tc>
        <w:tc>
          <w:tcPr>
            <w:tcW w:w="567" w:type="dxa"/>
          </w:tcPr>
          <w:p w14:paraId="57138714"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47</w:t>
            </w:r>
          </w:p>
        </w:tc>
        <w:tc>
          <w:tcPr>
            <w:tcW w:w="567" w:type="dxa"/>
          </w:tcPr>
          <w:p w14:paraId="2331EB86"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69</w:t>
            </w:r>
          </w:p>
        </w:tc>
        <w:tc>
          <w:tcPr>
            <w:tcW w:w="567" w:type="dxa"/>
          </w:tcPr>
          <w:p w14:paraId="4D2544A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4</w:t>
            </w:r>
          </w:p>
        </w:tc>
        <w:tc>
          <w:tcPr>
            <w:tcW w:w="567" w:type="dxa"/>
          </w:tcPr>
          <w:p w14:paraId="29C88840"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76</w:t>
            </w:r>
          </w:p>
        </w:tc>
        <w:tc>
          <w:tcPr>
            <w:tcW w:w="1418" w:type="dxa"/>
          </w:tcPr>
          <w:p w14:paraId="0D1FCC34"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$ 761.603.093</w:t>
            </w:r>
          </w:p>
        </w:tc>
        <w:tc>
          <w:tcPr>
            <w:tcW w:w="1559" w:type="dxa"/>
          </w:tcPr>
          <w:p w14:paraId="17E9AF46"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$ 153.948.508.757</w:t>
            </w:r>
          </w:p>
        </w:tc>
      </w:tr>
      <w:tr w:rsidR="003A77A8" w:rsidRPr="00782CA3" w14:paraId="7BC695D8" w14:textId="77777777" w:rsidTr="00782CA3">
        <w:trPr>
          <w:trHeight w:val="20"/>
          <w:jc w:val="center"/>
        </w:trPr>
        <w:tc>
          <w:tcPr>
            <w:tcW w:w="3114" w:type="dxa"/>
          </w:tcPr>
          <w:p w14:paraId="44158E2C"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LLANOS</w:t>
            </w:r>
          </w:p>
        </w:tc>
        <w:tc>
          <w:tcPr>
            <w:tcW w:w="1559" w:type="dxa"/>
          </w:tcPr>
          <w:p w14:paraId="09FC1803"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$ 97.645.375.826</w:t>
            </w:r>
          </w:p>
        </w:tc>
        <w:tc>
          <w:tcPr>
            <w:tcW w:w="567" w:type="dxa"/>
          </w:tcPr>
          <w:p w14:paraId="2731DF64"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49</w:t>
            </w:r>
          </w:p>
        </w:tc>
        <w:tc>
          <w:tcPr>
            <w:tcW w:w="567" w:type="dxa"/>
          </w:tcPr>
          <w:p w14:paraId="3F53D0E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87</w:t>
            </w:r>
          </w:p>
        </w:tc>
        <w:tc>
          <w:tcPr>
            <w:tcW w:w="567" w:type="dxa"/>
          </w:tcPr>
          <w:p w14:paraId="0D82E686"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6</w:t>
            </w:r>
          </w:p>
        </w:tc>
        <w:tc>
          <w:tcPr>
            <w:tcW w:w="567" w:type="dxa"/>
          </w:tcPr>
          <w:p w14:paraId="71D24EA9"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91</w:t>
            </w:r>
          </w:p>
        </w:tc>
        <w:tc>
          <w:tcPr>
            <w:tcW w:w="1418" w:type="dxa"/>
          </w:tcPr>
          <w:p w14:paraId="2C209B23"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$ 163.901.505</w:t>
            </w:r>
          </w:p>
        </w:tc>
        <w:tc>
          <w:tcPr>
            <w:tcW w:w="1559" w:type="dxa"/>
          </w:tcPr>
          <w:p w14:paraId="79EC5D5C"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$ 97.809.277.331</w:t>
            </w:r>
          </w:p>
        </w:tc>
      </w:tr>
      <w:tr w:rsidR="003A77A8" w:rsidRPr="00782CA3" w14:paraId="6BB7BDC3" w14:textId="77777777" w:rsidTr="00782CA3">
        <w:trPr>
          <w:trHeight w:val="20"/>
          <w:jc w:val="center"/>
        </w:trPr>
        <w:tc>
          <w:tcPr>
            <w:tcW w:w="3114" w:type="dxa"/>
          </w:tcPr>
          <w:p w14:paraId="0C6F7064"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PACIFICO</w:t>
            </w:r>
          </w:p>
        </w:tc>
        <w:tc>
          <w:tcPr>
            <w:tcW w:w="1559" w:type="dxa"/>
          </w:tcPr>
          <w:p w14:paraId="2A37559E"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$ 89.617.369.515</w:t>
            </w:r>
          </w:p>
        </w:tc>
        <w:tc>
          <w:tcPr>
            <w:tcW w:w="567" w:type="dxa"/>
          </w:tcPr>
          <w:p w14:paraId="27DC4519"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72</w:t>
            </w:r>
          </w:p>
        </w:tc>
        <w:tc>
          <w:tcPr>
            <w:tcW w:w="567" w:type="dxa"/>
          </w:tcPr>
          <w:p w14:paraId="48539A7C"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106</w:t>
            </w:r>
          </w:p>
        </w:tc>
        <w:tc>
          <w:tcPr>
            <w:tcW w:w="567" w:type="dxa"/>
          </w:tcPr>
          <w:p w14:paraId="4A5A6F0C"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20</w:t>
            </w:r>
          </w:p>
        </w:tc>
        <w:tc>
          <w:tcPr>
            <w:tcW w:w="567" w:type="dxa"/>
          </w:tcPr>
          <w:p w14:paraId="0A62FDB3"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107</w:t>
            </w:r>
          </w:p>
        </w:tc>
        <w:tc>
          <w:tcPr>
            <w:tcW w:w="1418" w:type="dxa"/>
          </w:tcPr>
          <w:p w14:paraId="12AB6371"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$ 302.459.312</w:t>
            </w:r>
          </w:p>
        </w:tc>
        <w:tc>
          <w:tcPr>
            <w:tcW w:w="1559" w:type="dxa"/>
          </w:tcPr>
          <w:p w14:paraId="5412AE5B"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$ 89.919.828.827</w:t>
            </w:r>
          </w:p>
        </w:tc>
      </w:tr>
      <w:tr w:rsidR="003A77A8" w:rsidRPr="00782CA3" w14:paraId="21023C19" w14:textId="77777777" w:rsidTr="00782CA3">
        <w:trPr>
          <w:trHeight w:val="20"/>
          <w:jc w:val="center"/>
        </w:trPr>
        <w:tc>
          <w:tcPr>
            <w:tcW w:w="3114" w:type="dxa"/>
          </w:tcPr>
          <w:p w14:paraId="02F7C07A"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EJE CAFETERO</w:t>
            </w:r>
          </w:p>
        </w:tc>
        <w:tc>
          <w:tcPr>
            <w:tcW w:w="1559" w:type="dxa"/>
          </w:tcPr>
          <w:p w14:paraId="759FCBAE"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$ 86.332.633.319</w:t>
            </w:r>
          </w:p>
        </w:tc>
        <w:tc>
          <w:tcPr>
            <w:tcW w:w="567" w:type="dxa"/>
          </w:tcPr>
          <w:p w14:paraId="0E55B75F"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77</w:t>
            </w:r>
          </w:p>
        </w:tc>
        <w:tc>
          <w:tcPr>
            <w:tcW w:w="567" w:type="dxa"/>
          </w:tcPr>
          <w:p w14:paraId="096863F3"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83</w:t>
            </w:r>
          </w:p>
        </w:tc>
        <w:tc>
          <w:tcPr>
            <w:tcW w:w="567" w:type="dxa"/>
          </w:tcPr>
          <w:p w14:paraId="04CF09BE"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5</w:t>
            </w:r>
          </w:p>
        </w:tc>
        <w:tc>
          <w:tcPr>
            <w:tcW w:w="567" w:type="dxa"/>
          </w:tcPr>
          <w:p w14:paraId="15B574C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83</w:t>
            </w:r>
          </w:p>
        </w:tc>
        <w:tc>
          <w:tcPr>
            <w:tcW w:w="1418" w:type="dxa"/>
          </w:tcPr>
          <w:p w14:paraId="6D4E877B"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$ 0</w:t>
            </w:r>
          </w:p>
        </w:tc>
        <w:tc>
          <w:tcPr>
            <w:tcW w:w="1559" w:type="dxa"/>
          </w:tcPr>
          <w:p w14:paraId="78B05D8F"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$ 86.332.633.319</w:t>
            </w:r>
          </w:p>
        </w:tc>
      </w:tr>
      <w:tr w:rsidR="003A77A8" w:rsidRPr="00782CA3" w14:paraId="5EE9E7C3" w14:textId="77777777" w:rsidTr="00782CA3">
        <w:trPr>
          <w:trHeight w:val="20"/>
          <w:jc w:val="center"/>
        </w:trPr>
        <w:tc>
          <w:tcPr>
            <w:tcW w:w="3114" w:type="dxa"/>
          </w:tcPr>
          <w:p w14:paraId="6DC85C60"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TRANSVERSAL TIC</w:t>
            </w:r>
          </w:p>
        </w:tc>
        <w:tc>
          <w:tcPr>
            <w:tcW w:w="1559" w:type="dxa"/>
          </w:tcPr>
          <w:p w14:paraId="3A8CD226"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$ 9.833.291.415</w:t>
            </w:r>
          </w:p>
        </w:tc>
        <w:tc>
          <w:tcPr>
            <w:tcW w:w="567" w:type="dxa"/>
          </w:tcPr>
          <w:p w14:paraId="4766DEA3"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w:t>
            </w:r>
          </w:p>
        </w:tc>
        <w:tc>
          <w:tcPr>
            <w:tcW w:w="567" w:type="dxa"/>
          </w:tcPr>
          <w:p w14:paraId="5077DD18"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w:t>
            </w:r>
          </w:p>
        </w:tc>
        <w:tc>
          <w:tcPr>
            <w:tcW w:w="567" w:type="dxa"/>
          </w:tcPr>
          <w:p w14:paraId="2169BF4E"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0</w:t>
            </w:r>
          </w:p>
        </w:tc>
        <w:tc>
          <w:tcPr>
            <w:tcW w:w="567" w:type="dxa"/>
          </w:tcPr>
          <w:p w14:paraId="70DCE827"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w:t>
            </w:r>
          </w:p>
        </w:tc>
        <w:tc>
          <w:tcPr>
            <w:tcW w:w="1418" w:type="dxa"/>
          </w:tcPr>
          <w:p w14:paraId="65C311AF"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$ 0</w:t>
            </w:r>
          </w:p>
        </w:tc>
        <w:tc>
          <w:tcPr>
            <w:tcW w:w="1559" w:type="dxa"/>
          </w:tcPr>
          <w:p w14:paraId="078A479C"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$ 9.833.291.415</w:t>
            </w:r>
          </w:p>
        </w:tc>
      </w:tr>
      <w:tr w:rsidR="003A77A8" w:rsidRPr="00782CA3" w14:paraId="67B094C5" w14:textId="77777777" w:rsidTr="00782CA3">
        <w:trPr>
          <w:trHeight w:val="20"/>
          <w:jc w:val="center"/>
        </w:trPr>
        <w:tc>
          <w:tcPr>
            <w:tcW w:w="3114" w:type="dxa"/>
          </w:tcPr>
          <w:p w14:paraId="4E6D179A"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ENTIDADES NACIONALES</w:t>
            </w:r>
          </w:p>
        </w:tc>
        <w:tc>
          <w:tcPr>
            <w:tcW w:w="1559" w:type="dxa"/>
          </w:tcPr>
          <w:p w14:paraId="4A2F6123"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$ 8.335.068.208</w:t>
            </w:r>
          </w:p>
        </w:tc>
        <w:tc>
          <w:tcPr>
            <w:tcW w:w="567" w:type="dxa"/>
          </w:tcPr>
          <w:p w14:paraId="16AE4EAA"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w:t>
            </w:r>
          </w:p>
        </w:tc>
        <w:tc>
          <w:tcPr>
            <w:tcW w:w="567" w:type="dxa"/>
          </w:tcPr>
          <w:p w14:paraId="380C8628"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w:t>
            </w:r>
          </w:p>
        </w:tc>
        <w:tc>
          <w:tcPr>
            <w:tcW w:w="567" w:type="dxa"/>
          </w:tcPr>
          <w:p w14:paraId="5383816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w:t>
            </w:r>
          </w:p>
        </w:tc>
        <w:tc>
          <w:tcPr>
            <w:tcW w:w="567" w:type="dxa"/>
          </w:tcPr>
          <w:p w14:paraId="770904B7"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w:t>
            </w:r>
          </w:p>
        </w:tc>
        <w:tc>
          <w:tcPr>
            <w:tcW w:w="1418" w:type="dxa"/>
          </w:tcPr>
          <w:p w14:paraId="3006E3AE"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$ 0</w:t>
            </w:r>
          </w:p>
        </w:tc>
        <w:tc>
          <w:tcPr>
            <w:tcW w:w="1559" w:type="dxa"/>
          </w:tcPr>
          <w:p w14:paraId="13596627"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$ 8.335.068.208</w:t>
            </w:r>
          </w:p>
        </w:tc>
      </w:tr>
      <w:tr w:rsidR="003A77A8" w:rsidRPr="00782CA3" w14:paraId="59481423" w14:textId="77777777" w:rsidTr="00782CA3">
        <w:trPr>
          <w:trHeight w:val="20"/>
          <w:jc w:val="center"/>
        </w:trPr>
        <w:tc>
          <w:tcPr>
            <w:tcW w:w="3114" w:type="dxa"/>
          </w:tcPr>
          <w:p w14:paraId="7C484904"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INTERVENCIÓN FUNCIONAL EXCEPCIONAL</w:t>
            </w:r>
          </w:p>
        </w:tc>
        <w:tc>
          <w:tcPr>
            <w:tcW w:w="1559" w:type="dxa"/>
          </w:tcPr>
          <w:p w14:paraId="7C261D87"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$ 6.089.406.098</w:t>
            </w:r>
          </w:p>
        </w:tc>
        <w:tc>
          <w:tcPr>
            <w:tcW w:w="567" w:type="dxa"/>
          </w:tcPr>
          <w:p w14:paraId="5D47C6A4"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4</w:t>
            </w:r>
          </w:p>
        </w:tc>
        <w:tc>
          <w:tcPr>
            <w:tcW w:w="567" w:type="dxa"/>
          </w:tcPr>
          <w:p w14:paraId="259C727F"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6</w:t>
            </w:r>
          </w:p>
        </w:tc>
        <w:tc>
          <w:tcPr>
            <w:tcW w:w="567" w:type="dxa"/>
          </w:tcPr>
          <w:p w14:paraId="7DE141B5"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w:t>
            </w:r>
          </w:p>
        </w:tc>
        <w:tc>
          <w:tcPr>
            <w:tcW w:w="567" w:type="dxa"/>
          </w:tcPr>
          <w:p w14:paraId="45A2B936"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6</w:t>
            </w:r>
          </w:p>
        </w:tc>
        <w:tc>
          <w:tcPr>
            <w:tcW w:w="1418" w:type="dxa"/>
          </w:tcPr>
          <w:p w14:paraId="0EA81B38"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$ 0</w:t>
            </w:r>
          </w:p>
        </w:tc>
        <w:tc>
          <w:tcPr>
            <w:tcW w:w="1559" w:type="dxa"/>
          </w:tcPr>
          <w:p w14:paraId="6228FB93"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$ 6.089.406.098</w:t>
            </w:r>
          </w:p>
        </w:tc>
      </w:tr>
      <w:tr w:rsidR="003A77A8" w:rsidRPr="00782CA3" w14:paraId="7609058F" w14:textId="77777777" w:rsidTr="00782CA3">
        <w:trPr>
          <w:trHeight w:val="20"/>
          <w:jc w:val="center"/>
        </w:trPr>
        <w:tc>
          <w:tcPr>
            <w:tcW w:w="3114" w:type="dxa"/>
          </w:tcPr>
          <w:p w14:paraId="3D396579"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TRANSVERSAL CARIBE-POSCONFLICTO</w:t>
            </w:r>
          </w:p>
        </w:tc>
        <w:tc>
          <w:tcPr>
            <w:tcW w:w="1559" w:type="dxa"/>
          </w:tcPr>
          <w:p w14:paraId="5DF695DE"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$ 946.275.290</w:t>
            </w:r>
          </w:p>
        </w:tc>
        <w:tc>
          <w:tcPr>
            <w:tcW w:w="567" w:type="dxa"/>
          </w:tcPr>
          <w:p w14:paraId="57E0475B"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7</w:t>
            </w:r>
          </w:p>
        </w:tc>
        <w:tc>
          <w:tcPr>
            <w:tcW w:w="567" w:type="dxa"/>
          </w:tcPr>
          <w:p w14:paraId="521E4281"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22</w:t>
            </w:r>
          </w:p>
        </w:tc>
        <w:tc>
          <w:tcPr>
            <w:tcW w:w="567" w:type="dxa"/>
          </w:tcPr>
          <w:p w14:paraId="6DEA1D89"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0</w:t>
            </w:r>
          </w:p>
        </w:tc>
        <w:tc>
          <w:tcPr>
            <w:tcW w:w="567" w:type="dxa"/>
          </w:tcPr>
          <w:p w14:paraId="497C0655"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28</w:t>
            </w:r>
          </w:p>
        </w:tc>
        <w:tc>
          <w:tcPr>
            <w:tcW w:w="1418" w:type="dxa"/>
          </w:tcPr>
          <w:p w14:paraId="360BC492"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$ 13.263.125</w:t>
            </w:r>
          </w:p>
        </w:tc>
        <w:tc>
          <w:tcPr>
            <w:tcW w:w="1559" w:type="dxa"/>
          </w:tcPr>
          <w:p w14:paraId="7C80D8C5" w14:textId="77777777" w:rsidR="003A77A8" w:rsidRPr="00782CA3" w:rsidRDefault="003A77A8" w:rsidP="00C94A51">
            <w:pPr>
              <w:jc w:val="right"/>
              <w:rPr>
                <w:rFonts w:ascii="Arial Narrow" w:hAnsi="Arial Narrow"/>
                <w:sz w:val="18"/>
                <w:szCs w:val="18"/>
              </w:rPr>
            </w:pPr>
            <w:r w:rsidRPr="00782CA3">
              <w:rPr>
                <w:rFonts w:ascii="Arial Narrow" w:hAnsi="Arial Narrow"/>
                <w:sz w:val="18"/>
                <w:szCs w:val="18"/>
              </w:rPr>
              <w:t>$ 959.538.415</w:t>
            </w:r>
          </w:p>
        </w:tc>
      </w:tr>
      <w:tr w:rsidR="003A77A8" w:rsidRPr="00782CA3" w14:paraId="341DDA09" w14:textId="77777777" w:rsidTr="00782CA3">
        <w:trPr>
          <w:trHeight w:val="20"/>
          <w:jc w:val="center"/>
        </w:trPr>
        <w:tc>
          <w:tcPr>
            <w:tcW w:w="3114" w:type="dxa"/>
          </w:tcPr>
          <w:p w14:paraId="532732DD" w14:textId="77777777" w:rsidR="003A77A8" w:rsidRPr="00782CA3" w:rsidRDefault="003A77A8" w:rsidP="00C94A51">
            <w:pPr>
              <w:rPr>
                <w:rFonts w:ascii="Arial Narrow" w:hAnsi="Arial Narrow"/>
                <w:b/>
                <w:bCs/>
                <w:sz w:val="18"/>
                <w:szCs w:val="18"/>
              </w:rPr>
            </w:pPr>
            <w:proofErr w:type="gramStart"/>
            <w:r w:rsidRPr="00782CA3">
              <w:rPr>
                <w:rFonts w:ascii="Arial Narrow" w:hAnsi="Arial Narrow"/>
                <w:b/>
                <w:bCs/>
                <w:sz w:val="18"/>
                <w:szCs w:val="18"/>
              </w:rPr>
              <w:t>Total</w:t>
            </w:r>
            <w:proofErr w:type="gramEnd"/>
            <w:r w:rsidRPr="00782CA3">
              <w:rPr>
                <w:rFonts w:ascii="Arial Narrow" w:hAnsi="Arial Narrow"/>
                <w:b/>
                <w:bCs/>
                <w:sz w:val="18"/>
                <w:szCs w:val="18"/>
              </w:rPr>
              <w:t xml:space="preserve"> general</w:t>
            </w:r>
          </w:p>
        </w:tc>
        <w:tc>
          <w:tcPr>
            <w:tcW w:w="1559" w:type="dxa"/>
          </w:tcPr>
          <w:p w14:paraId="21D72220" w14:textId="77777777" w:rsidR="003A77A8" w:rsidRPr="00782CA3" w:rsidRDefault="003A77A8" w:rsidP="00C94A51">
            <w:pPr>
              <w:jc w:val="right"/>
              <w:rPr>
                <w:rFonts w:ascii="Arial Narrow" w:hAnsi="Arial Narrow"/>
                <w:b/>
                <w:bCs/>
                <w:sz w:val="18"/>
                <w:szCs w:val="18"/>
              </w:rPr>
            </w:pPr>
            <w:r w:rsidRPr="00782CA3">
              <w:rPr>
                <w:rFonts w:ascii="Arial Narrow" w:hAnsi="Arial Narrow"/>
                <w:b/>
                <w:bCs/>
                <w:sz w:val="18"/>
                <w:szCs w:val="18"/>
              </w:rPr>
              <w:t>$ 629.353.380.834</w:t>
            </w:r>
          </w:p>
        </w:tc>
        <w:tc>
          <w:tcPr>
            <w:tcW w:w="567" w:type="dxa"/>
          </w:tcPr>
          <w:p w14:paraId="5544F74C"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362</w:t>
            </w:r>
          </w:p>
        </w:tc>
        <w:tc>
          <w:tcPr>
            <w:tcW w:w="567" w:type="dxa"/>
          </w:tcPr>
          <w:p w14:paraId="51CFF800"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491</w:t>
            </w:r>
          </w:p>
        </w:tc>
        <w:tc>
          <w:tcPr>
            <w:tcW w:w="567" w:type="dxa"/>
          </w:tcPr>
          <w:p w14:paraId="3269E63A"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44</w:t>
            </w:r>
          </w:p>
        </w:tc>
        <w:tc>
          <w:tcPr>
            <w:tcW w:w="567" w:type="dxa"/>
          </w:tcPr>
          <w:p w14:paraId="23B20AD3"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515</w:t>
            </w:r>
          </w:p>
        </w:tc>
        <w:tc>
          <w:tcPr>
            <w:tcW w:w="1418" w:type="dxa"/>
          </w:tcPr>
          <w:p w14:paraId="00560CA2" w14:textId="77777777" w:rsidR="003A77A8" w:rsidRPr="00782CA3" w:rsidRDefault="003A77A8" w:rsidP="00C94A51">
            <w:pPr>
              <w:jc w:val="right"/>
              <w:rPr>
                <w:rFonts w:ascii="Arial Narrow" w:hAnsi="Arial Narrow"/>
                <w:b/>
                <w:bCs/>
                <w:sz w:val="18"/>
                <w:szCs w:val="18"/>
              </w:rPr>
            </w:pPr>
            <w:r w:rsidRPr="00782CA3">
              <w:rPr>
                <w:rFonts w:ascii="Arial Narrow" w:hAnsi="Arial Narrow"/>
                <w:b/>
                <w:bCs/>
                <w:sz w:val="18"/>
                <w:szCs w:val="18"/>
              </w:rPr>
              <w:t>$ 2.437.756.783</w:t>
            </w:r>
          </w:p>
        </w:tc>
        <w:tc>
          <w:tcPr>
            <w:tcW w:w="1559" w:type="dxa"/>
          </w:tcPr>
          <w:p w14:paraId="002F5D60" w14:textId="77777777" w:rsidR="003A77A8" w:rsidRPr="00782CA3" w:rsidRDefault="003A77A8" w:rsidP="00C94A51">
            <w:pPr>
              <w:jc w:val="right"/>
              <w:rPr>
                <w:rFonts w:ascii="Arial Narrow" w:hAnsi="Arial Narrow"/>
                <w:b/>
                <w:bCs/>
                <w:sz w:val="18"/>
                <w:szCs w:val="18"/>
              </w:rPr>
            </w:pPr>
            <w:r w:rsidRPr="00782CA3">
              <w:rPr>
                <w:rFonts w:ascii="Arial Narrow" w:hAnsi="Arial Narrow"/>
                <w:b/>
                <w:bCs/>
                <w:sz w:val="18"/>
                <w:szCs w:val="18"/>
              </w:rPr>
              <w:t>$ 631.791.137.618</w:t>
            </w:r>
          </w:p>
        </w:tc>
      </w:tr>
    </w:tbl>
    <w:p w14:paraId="21F46CBA" w14:textId="77777777" w:rsidR="003A77A8" w:rsidRPr="00782CA3" w:rsidRDefault="003A77A8" w:rsidP="003A77A8">
      <w:pPr>
        <w:jc w:val="both"/>
        <w:rPr>
          <w:rFonts w:ascii="Arial Narrow" w:eastAsia="Arial" w:hAnsi="Arial Narrow" w:cs="Arial"/>
          <w:sz w:val="18"/>
          <w:szCs w:val="18"/>
        </w:rPr>
      </w:pPr>
      <w:r w:rsidRPr="00782CA3">
        <w:rPr>
          <w:rFonts w:ascii="Arial Narrow" w:eastAsia="Arial" w:hAnsi="Arial Narrow" w:cs="Arial"/>
          <w:b/>
          <w:bCs/>
          <w:sz w:val="18"/>
          <w:szCs w:val="18"/>
        </w:rPr>
        <w:t xml:space="preserve">Fuente: </w:t>
      </w:r>
      <w:r w:rsidRPr="00782CA3">
        <w:rPr>
          <w:rFonts w:ascii="Arial Narrow" w:eastAsia="Arial" w:hAnsi="Arial Narrow" w:cs="Arial"/>
          <w:sz w:val="18"/>
          <w:szCs w:val="18"/>
        </w:rPr>
        <w:t>Elaboración propia</w:t>
      </w:r>
    </w:p>
    <w:p w14:paraId="38FBD57E" w14:textId="77777777" w:rsidR="003A77A8" w:rsidRPr="00CA329C" w:rsidRDefault="003A77A8" w:rsidP="003A77A8">
      <w:pPr>
        <w:jc w:val="both"/>
        <w:rPr>
          <w:rFonts w:ascii="Bookman Old Style" w:eastAsia="Arial" w:hAnsi="Bookman Old Style" w:cs="Arial"/>
          <w:sz w:val="18"/>
          <w:szCs w:val="18"/>
        </w:rPr>
      </w:pPr>
    </w:p>
    <w:p w14:paraId="303A05E9" w14:textId="77777777" w:rsidR="003A77A8"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 xml:space="preserve">De los 362 hallazgos con incidencia fiscal por $629.353 millones, consolidados como resultado del ejercicio auditor de Regalías, </w:t>
      </w:r>
      <w:r w:rsidRPr="00CA329C">
        <w:rPr>
          <w:rFonts w:ascii="Bookman Old Style" w:eastAsia="Arial" w:hAnsi="Bookman Old Style" w:cs="Arial"/>
          <w:b/>
          <w:bCs/>
        </w:rPr>
        <w:t>$170.493 millones corresponden a proyectos que fueron revisados por medio de atención a Solicitudes ciudadanas</w:t>
      </w:r>
      <w:r w:rsidRPr="00CA329C">
        <w:rPr>
          <w:rFonts w:ascii="Bookman Old Style" w:eastAsia="Arial" w:hAnsi="Bookman Old Style" w:cs="Arial"/>
        </w:rPr>
        <w:t xml:space="preserve">. Este valor se distribuye por región, de la siguiente forma: </w:t>
      </w:r>
    </w:p>
    <w:p w14:paraId="3D018BE5" w14:textId="77777777" w:rsidR="003A77A8" w:rsidRPr="00CA329C" w:rsidRDefault="003A77A8" w:rsidP="003A77A8">
      <w:pPr>
        <w:jc w:val="both"/>
        <w:rPr>
          <w:rFonts w:ascii="Bookman Old Style" w:eastAsiaTheme="minorHAnsi" w:hAnsi="Bookman Old Style"/>
        </w:rPr>
      </w:pPr>
    </w:p>
    <w:p w14:paraId="37BE853B" w14:textId="7A6FCB3F" w:rsidR="003A77A8" w:rsidRPr="00782CA3" w:rsidRDefault="003A77A8" w:rsidP="00782CA3">
      <w:pPr>
        <w:jc w:val="center"/>
        <w:rPr>
          <w:rFonts w:ascii="Bookman Old Style" w:eastAsiaTheme="majorEastAsia" w:hAnsi="Bookman Old Style" w:cstheme="majorBidi"/>
          <w:i/>
          <w:iCs/>
          <w:sz w:val="18"/>
          <w:szCs w:val="18"/>
          <w:lang w:val="es-ES"/>
        </w:rPr>
      </w:pPr>
      <w:r w:rsidRPr="00CA329C">
        <w:rPr>
          <w:rFonts w:ascii="Bookman Old Style" w:eastAsiaTheme="majorEastAsia" w:hAnsi="Bookman Old Style" w:cstheme="majorBidi"/>
          <w:i/>
          <w:iCs/>
          <w:sz w:val="18"/>
          <w:szCs w:val="18"/>
          <w:lang w:val="es-ES"/>
        </w:rPr>
        <w:t>Tabla 3. Resultados Solicitudes Ciudadanas: Hallazgos por región 2023</w:t>
      </w:r>
    </w:p>
    <w:tbl>
      <w:tblPr>
        <w:tblStyle w:val="Tablaconcuadrculaclara"/>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8"/>
        <w:gridCol w:w="1554"/>
        <w:gridCol w:w="567"/>
        <w:gridCol w:w="567"/>
        <w:gridCol w:w="567"/>
        <w:gridCol w:w="567"/>
        <w:gridCol w:w="1418"/>
        <w:gridCol w:w="1559"/>
      </w:tblGrid>
      <w:tr w:rsidR="003A77A8" w:rsidRPr="00782CA3" w14:paraId="57421F75" w14:textId="77777777" w:rsidTr="00782CA3">
        <w:trPr>
          <w:trHeight w:val="132"/>
          <w:jc w:val="center"/>
        </w:trPr>
        <w:tc>
          <w:tcPr>
            <w:tcW w:w="1418" w:type="dxa"/>
          </w:tcPr>
          <w:p w14:paraId="2309ED25" w14:textId="77777777" w:rsidR="003A77A8" w:rsidRPr="00782CA3" w:rsidRDefault="003A77A8" w:rsidP="00C94A51">
            <w:pPr>
              <w:rPr>
                <w:rFonts w:ascii="Arial Narrow" w:hAnsi="Arial Narrow"/>
                <w:sz w:val="18"/>
                <w:szCs w:val="18"/>
              </w:rPr>
            </w:pPr>
            <w:r w:rsidRPr="00782CA3">
              <w:rPr>
                <w:rFonts w:ascii="Arial Narrow" w:hAnsi="Arial Narrow"/>
                <w:b/>
                <w:bCs/>
                <w:sz w:val="18"/>
                <w:szCs w:val="18"/>
              </w:rPr>
              <w:t>REGIÓN</w:t>
            </w:r>
            <w:r w:rsidRPr="00782CA3">
              <w:rPr>
                <w:rFonts w:ascii="Arial Narrow" w:hAnsi="Arial Narrow"/>
                <w:sz w:val="18"/>
                <w:szCs w:val="18"/>
              </w:rPr>
              <w:t xml:space="preserve"> </w:t>
            </w:r>
          </w:p>
        </w:tc>
        <w:tc>
          <w:tcPr>
            <w:tcW w:w="1554" w:type="dxa"/>
          </w:tcPr>
          <w:p w14:paraId="4EDB6D92" w14:textId="77777777"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Valor H. Fiscales</w:t>
            </w:r>
          </w:p>
        </w:tc>
        <w:tc>
          <w:tcPr>
            <w:tcW w:w="567" w:type="dxa"/>
          </w:tcPr>
          <w:p w14:paraId="53075EAB" w14:textId="73BD6419"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w:t>
            </w:r>
            <w:r w:rsidR="009462F3" w:rsidRPr="00782CA3">
              <w:rPr>
                <w:rFonts w:ascii="Arial Narrow" w:hAnsi="Arial Narrow"/>
                <w:b/>
                <w:bCs/>
                <w:sz w:val="18"/>
                <w:szCs w:val="18"/>
              </w:rPr>
              <w:t xml:space="preserve">  </w:t>
            </w:r>
            <w:r w:rsidRPr="00782CA3">
              <w:rPr>
                <w:rFonts w:ascii="Arial Narrow" w:hAnsi="Arial Narrow"/>
                <w:b/>
                <w:bCs/>
                <w:sz w:val="18"/>
                <w:szCs w:val="18"/>
              </w:rPr>
              <w:t>F</w:t>
            </w:r>
          </w:p>
        </w:tc>
        <w:tc>
          <w:tcPr>
            <w:tcW w:w="567" w:type="dxa"/>
          </w:tcPr>
          <w:p w14:paraId="5CC79DC9" w14:textId="46CBD5DF"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  D</w:t>
            </w:r>
          </w:p>
        </w:tc>
        <w:tc>
          <w:tcPr>
            <w:tcW w:w="567" w:type="dxa"/>
          </w:tcPr>
          <w:p w14:paraId="70FD15C9" w14:textId="4AB8251E"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 P</w:t>
            </w:r>
          </w:p>
        </w:tc>
        <w:tc>
          <w:tcPr>
            <w:tcW w:w="567" w:type="dxa"/>
          </w:tcPr>
          <w:p w14:paraId="3839C432" w14:textId="369509F7"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 A</w:t>
            </w:r>
          </w:p>
        </w:tc>
        <w:tc>
          <w:tcPr>
            <w:tcW w:w="1418" w:type="dxa"/>
          </w:tcPr>
          <w:p w14:paraId="1B287587" w14:textId="77777777" w:rsidR="003A77A8" w:rsidRPr="00782CA3" w:rsidRDefault="003A77A8" w:rsidP="00C94A51">
            <w:pPr>
              <w:jc w:val="center"/>
              <w:rPr>
                <w:rFonts w:ascii="Arial Narrow" w:hAnsi="Arial Narrow"/>
                <w:sz w:val="18"/>
                <w:szCs w:val="18"/>
              </w:rPr>
            </w:pPr>
            <w:r w:rsidRPr="00782CA3">
              <w:rPr>
                <w:rFonts w:ascii="Arial Narrow" w:hAnsi="Arial Narrow"/>
                <w:b/>
                <w:bCs/>
                <w:sz w:val="18"/>
                <w:szCs w:val="18"/>
              </w:rPr>
              <w:t>Valor Beneficio Aprobado</w:t>
            </w:r>
          </w:p>
        </w:tc>
        <w:tc>
          <w:tcPr>
            <w:tcW w:w="1559" w:type="dxa"/>
          </w:tcPr>
          <w:p w14:paraId="7A317AD4" w14:textId="77777777" w:rsidR="003A77A8" w:rsidRPr="00782CA3" w:rsidRDefault="003A77A8" w:rsidP="00C94A51">
            <w:pPr>
              <w:jc w:val="center"/>
              <w:rPr>
                <w:rFonts w:ascii="Arial Narrow" w:hAnsi="Arial Narrow"/>
                <w:sz w:val="18"/>
                <w:szCs w:val="18"/>
              </w:rPr>
            </w:pPr>
            <w:proofErr w:type="gramStart"/>
            <w:r w:rsidRPr="00782CA3">
              <w:rPr>
                <w:rFonts w:ascii="Arial Narrow" w:hAnsi="Arial Narrow"/>
                <w:b/>
                <w:bCs/>
                <w:sz w:val="18"/>
                <w:szCs w:val="18"/>
              </w:rPr>
              <w:t>Total</w:t>
            </w:r>
            <w:proofErr w:type="gramEnd"/>
            <w:r w:rsidRPr="00782CA3">
              <w:rPr>
                <w:rFonts w:ascii="Arial Narrow" w:hAnsi="Arial Narrow"/>
                <w:b/>
                <w:bCs/>
                <w:sz w:val="18"/>
                <w:szCs w:val="18"/>
              </w:rPr>
              <w:t xml:space="preserve"> Ejercicio Auditor</w:t>
            </w:r>
          </w:p>
        </w:tc>
      </w:tr>
      <w:tr w:rsidR="003A77A8" w:rsidRPr="00782CA3" w14:paraId="31C9F005" w14:textId="77777777" w:rsidTr="00782CA3">
        <w:trPr>
          <w:trHeight w:val="132"/>
          <w:jc w:val="center"/>
        </w:trPr>
        <w:tc>
          <w:tcPr>
            <w:tcW w:w="1418" w:type="dxa"/>
          </w:tcPr>
          <w:p w14:paraId="1EBDC2DE"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CENTRO</w:t>
            </w:r>
          </w:p>
        </w:tc>
        <w:tc>
          <w:tcPr>
            <w:tcW w:w="1554" w:type="dxa"/>
          </w:tcPr>
          <w:p w14:paraId="70E97FAF"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$ 54.792.287.188</w:t>
            </w:r>
          </w:p>
        </w:tc>
        <w:tc>
          <w:tcPr>
            <w:tcW w:w="567" w:type="dxa"/>
          </w:tcPr>
          <w:p w14:paraId="48D44FE3"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11</w:t>
            </w:r>
          </w:p>
        </w:tc>
        <w:tc>
          <w:tcPr>
            <w:tcW w:w="567" w:type="dxa"/>
          </w:tcPr>
          <w:p w14:paraId="1409A649"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12</w:t>
            </w:r>
          </w:p>
        </w:tc>
        <w:tc>
          <w:tcPr>
            <w:tcW w:w="567" w:type="dxa"/>
          </w:tcPr>
          <w:p w14:paraId="513D0ACC"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w:t>
            </w:r>
          </w:p>
        </w:tc>
        <w:tc>
          <w:tcPr>
            <w:tcW w:w="567" w:type="dxa"/>
          </w:tcPr>
          <w:p w14:paraId="2DD40A81"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12</w:t>
            </w:r>
          </w:p>
        </w:tc>
        <w:tc>
          <w:tcPr>
            <w:tcW w:w="1418" w:type="dxa"/>
          </w:tcPr>
          <w:p w14:paraId="3AA3BAE6"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$ 748.759.327</w:t>
            </w:r>
          </w:p>
        </w:tc>
        <w:tc>
          <w:tcPr>
            <w:tcW w:w="1559" w:type="dxa"/>
          </w:tcPr>
          <w:p w14:paraId="3645E0B2"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$ 55.541.046.515</w:t>
            </w:r>
          </w:p>
        </w:tc>
      </w:tr>
      <w:tr w:rsidR="003A77A8" w:rsidRPr="00782CA3" w14:paraId="2D323A3F" w14:textId="77777777" w:rsidTr="00782CA3">
        <w:trPr>
          <w:trHeight w:val="132"/>
          <w:jc w:val="center"/>
        </w:trPr>
        <w:tc>
          <w:tcPr>
            <w:tcW w:w="1418" w:type="dxa"/>
          </w:tcPr>
          <w:p w14:paraId="2B09C41D"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CARIBE</w:t>
            </w:r>
          </w:p>
        </w:tc>
        <w:tc>
          <w:tcPr>
            <w:tcW w:w="1554" w:type="dxa"/>
          </w:tcPr>
          <w:p w14:paraId="30B54D46"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$ 51.700.911.640</w:t>
            </w:r>
          </w:p>
        </w:tc>
        <w:tc>
          <w:tcPr>
            <w:tcW w:w="567" w:type="dxa"/>
          </w:tcPr>
          <w:p w14:paraId="36624DDF"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23</w:t>
            </w:r>
          </w:p>
        </w:tc>
        <w:tc>
          <w:tcPr>
            <w:tcW w:w="567" w:type="dxa"/>
          </w:tcPr>
          <w:p w14:paraId="74523CE0"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25</w:t>
            </w:r>
          </w:p>
        </w:tc>
        <w:tc>
          <w:tcPr>
            <w:tcW w:w="567" w:type="dxa"/>
          </w:tcPr>
          <w:p w14:paraId="11F6478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w:t>
            </w:r>
          </w:p>
        </w:tc>
        <w:tc>
          <w:tcPr>
            <w:tcW w:w="567" w:type="dxa"/>
          </w:tcPr>
          <w:p w14:paraId="3023AE89"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25</w:t>
            </w:r>
          </w:p>
        </w:tc>
        <w:tc>
          <w:tcPr>
            <w:tcW w:w="1418" w:type="dxa"/>
          </w:tcPr>
          <w:p w14:paraId="63EB8E17"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$ 569.595.692</w:t>
            </w:r>
          </w:p>
        </w:tc>
        <w:tc>
          <w:tcPr>
            <w:tcW w:w="1559" w:type="dxa"/>
          </w:tcPr>
          <w:p w14:paraId="5EB6FDC4"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$ 52.270.507.332</w:t>
            </w:r>
          </w:p>
        </w:tc>
      </w:tr>
      <w:tr w:rsidR="003A77A8" w:rsidRPr="00782CA3" w14:paraId="33DB799B" w14:textId="77777777" w:rsidTr="00782CA3">
        <w:trPr>
          <w:trHeight w:val="132"/>
          <w:jc w:val="center"/>
        </w:trPr>
        <w:tc>
          <w:tcPr>
            <w:tcW w:w="1418" w:type="dxa"/>
          </w:tcPr>
          <w:p w14:paraId="7AF147E4"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PACIFICO</w:t>
            </w:r>
          </w:p>
        </w:tc>
        <w:tc>
          <w:tcPr>
            <w:tcW w:w="1554" w:type="dxa"/>
          </w:tcPr>
          <w:p w14:paraId="15600133"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$ 41.657.373.225</w:t>
            </w:r>
          </w:p>
        </w:tc>
        <w:tc>
          <w:tcPr>
            <w:tcW w:w="567" w:type="dxa"/>
          </w:tcPr>
          <w:p w14:paraId="1F1AAF50"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35</w:t>
            </w:r>
          </w:p>
        </w:tc>
        <w:tc>
          <w:tcPr>
            <w:tcW w:w="567" w:type="dxa"/>
          </w:tcPr>
          <w:p w14:paraId="5DC442DD"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37</w:t>
            </w:r>
          </w:p>
        </w:tc>
        <w:tc>
          <w:tcPr>
            <w:tcW w:w="567" w:type="dxa"/>
          </w:tcPr>
          <w:p w14:paraId="4D45F7F8"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18</w:t>
            </w:r>
          </w:p>
        </w:tc>
        <w:tc>
          <w:tcPr>
            <w:tcW w:w="567" w:type="dxa"/>
          </w:tcPr>
          <w:p w14:paraId="1046BD36"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37</w:t>
            </w:r>
          </w:p>
        </w:tc>
        <w:tc>
          <w:tcPr>
            <w:tcW w:w="1418" w:type="dxa"/>
          </w:tcPr>
          <w:p w14:paraId="04D58B79"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$ 45.833.499</w:t>
            </w:r>
          </w:p>
        </w:tc>
        <w:tc>
          <w:tcPr>
            <w:tcW w:w="1559" w:type="dxa"/>
          </w:tcPr>
          <w:p w14:paraId="0F54660B"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$ 41.703.206.724</w:t>
            </w:r>
          </w:p>
        </w:tc>
      </w:tr>
      <w:tr w:rsidR="003A77A8" w:rsidRPr="00782CA3" w14:paraId="17B067B3" w14:textId="77777777" w:rsidTr="00782CA3">
        <w:trPr>
          <w:trHeight w:val="132"/>
          <w:jc w:val="center"/>
        </w:trPr>
        <w:tc>
          <w:tcPr>
            <w:tcW w:w="1418" w:type="dxa"/>
          </w:tcPr>
          <w:p w14:paraId="05D4FF56"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LLANOS</w:t>
            </w:r>
          </w:p>
        </w:tc>
        <w:tc>
          <w:tcPr>
            <w:tcW w:w="1554" w:type="dxa"/>
          </w:tcPr>
          <w:p w14:paraId="5754396B"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$ 18.386.986.781</w:t>
            </w:r>
          </w:p>
        </w:tc>
        <w:tc>
          <w:tcPr>
            <w:tcW w:w="567" w:type="dxa"/>
          </w:tcPr>
          <w:p w14:paraId="552B9A08"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18</w:t>
            </w:r>
          </w:p>
        </w:tc>
        <w:tc>
          <w:tcPr>
            <w:tcW w:w="567" w:type="dxa"/>
          </w:tcPr>
          <w:p w14:paraId="04C10EC9"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22</w:t>
            </w:r>
          </w:p>
        </w:tc>
        <w:tc>
          <w:tcPr>
            <w:tcW w:w="567" w:type="dxa"/>
          </w:tcPr>
          <w:p w14:paraId="7D60DB61"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4</w:t>
            </w:r>
          </w:p>
        </w:tc>
        <w:tc>
          <w:tcPr>
            <w:tcW w:w="567" w:type="dxa"/>
          </w:tcPr>
          <w:p w14:paraId="07CD1872"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22</w:t>
            </w:r>
          </w:p>
        </w:tc>
        <w:tc>
          <w:tcPr>
            <w:tcW w:w="1418" w:type="dxa"/>
          </w:tcPr>
          <w:p w14:paraId="622F78CC"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$ 0</w:t>
            </w:r>
          </w:p>
        </w:tc>
        <w:tc>
          <w:tcPr>
            <w:tcW w:w="1559" w:type="dxa"/>
          </w:tcPr>
          <w:p w14:paraId="523A0A77"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$ 18.386.986.781</w:t>
            </w:r>
          </w:p>
        </w:tc>
      </w:tr>
      <w:tr w:rsidR="003A77A8" w:rsidRPr="00782CA3" w14:paraId="07E9D20B" w14:textId="77777777" w:rsidTr="00782CA3">
        <w:trPr>
          <w:trHeight w:val="132"/>
          <w:jc w:val="center"/>
        </w:trPr>
        <w:tc>
          <w:tcPr>
            <w:tcW w:w="1418" w:type="dxa"/>
          </w:tcPr>
          <w:p w14:paraId="65870A27" w14:textId="77777777" w:rsidR="003A77A8" w:rsidRPr="00782CA3" w:rsidRDefault="003A77A8" w:rsidP="00C94A51">
            <w:pPr>
              <w:rPr>
                <w:rFonts w:ascii="Arial Narrow" w:hAnsi="Arial Narrow"/>
                <w:sz w:val="18"/>
                <w:szCs w:val="18"/>
              </w:rPr>
            </w:pPr>
            <w:r w:rsidRPr="00782CA3">
              <w:rPr>
                <w:rFonts w:ascii="Arial Narrow" w:hAnsi="Arial Narrow"/>
                <w:sz w:val="18"/>
                <w:szCs w:val="18"/>
              </w:rPr>
              <w:t>EJE CAFETERO</w:t>
            </w:r>
          </w:p>
        </w:tc>
        <w:tc>
          <w:tcPr>
            <w:tcW w:w="1554" w:type="dxa"/>
          </w:tcPr>
          <w:p w14:paraId="089D68FE"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$ 3.956.116.813</w:t>
            </w:r>
          </w:p>
        </w:tc>
        <w:tc>
          <w:tcPr>
            <w:tcW w:w="567" w:type="dxa"/>
          </w:tcPr>
          <w:p w14:paraId="19D17E31"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10</w:t>
            </w:r>
          </w:p>
        </w:tc>
        <w:tc>
          <w:tcPr>
            <w:tcW w:w="567" w:type="dxa"/>
          </w:tcPr>
          <w:p w14:paraId="14E2CDD5"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10</w:t>
            </w:r>
          </w:p>
        </w:tc>
        <w:tc>
          <w:tcPr>
            <w:tcW w:w="567" w:type="dxa"/>
          </w:tcPr>
          <w:p w14:paraId="5BFF286A"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w:t>
            </w:r>
          </w:p>
        </w:tc>
        <w:tc>
          <w:tcPr>
            <w:tcW w:w="567" w:type="dxa"/>
          </w:tcPr>
          <w:p w14:paraId="66BE41A6" w14:textId="77777777" w:rsidR="003A77A8" w:rsidRPr="00782CA3" w:rsidRDefault="003A77A8" w:rsidP="00C94A51">
            <w:pPr>
              <w:jc w:val="center"/>
              <w:rPr>
                <w:rFonts w:ascii="Arial Narrow" w:hAnsi="Arial Narrow"/>
                <w:sz w:val="18"/>
                <w:szCs w:val="18"/>
              </w:rPr>
            </w:pPr>
            <w:r w:rsidRPr="00782CA3">
              <w:rPr>
                <w:rFonts w:ascii="Arial Narrow" w:hAnsi="Arial Narrow"/>
                <w:sz w:val="18"/>
                <w:szCs w:val="18"/>
              </w:rPr>
              <w:t>10</w:t>
            </w:r>
          </w:p>
        </w:tc>
        <w:tc>
          <w:tcPr>
            <w:tcW w:w="1418" w:type="dxa"/>
          </w:tcPr>
          <w:p w14:paraId="2BE960A9"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$ 0</w:t>
            </w:r>
          </w:p>
        </w:tc>
        <w:tc>
          <w:tcPr>
            <w:tcW w:w="1559" w:type="dxa"/>
          </w:tcPr>
          <w:p w14:paraId="332E07B1" w14:textId="77777777" w:rsidR="003A77A8" w:rsidRPr="00782CA3" w:rsidRDefault="003A77A8" w:rsidP="00782CA3">
            <w:pPr>
              <w:jc w:val="right"/>
              <w:rPr>
                <w:rFonts w:ascii="Arial Narrow" w:hAnsi="Arial Narrow"/>
                <w:sz w:val="18"/>
                <w:szCs w:val="18"/>
              </w:rPr>
            </w:pPr>
            <w:r w:rsidRPr="00782CA3">
              <w:rPr>
                <w:rFonts w:ascii="Arial Narrow" w:hAnsi="Arial Narrow"/>
                <w:sz w:val="18"/>
                <w:szCs w:val="18"/>
              </w:rPr>
              <w:t>$ 3.956.116.813</w:t>
            </w:r>
          </w:p>
        </w:tc>
      </w:tr>
      <w:tr w:rsidR="003A77A8" w:rsidRPr="00782CA3" w14:paraId="7BDEF1FD" w14:textId="77777777" w:rsidTr="00782CA3">
        <w:trPr>
          <w:trHeight w:val="132"/>
          <w:jc w:val="center"/>
        </w:trPr>
        <w:tc>
          <w:tcPr>
            <w:tcW w:w="1418" w:type="dxa"/>
          </w:tcPr>
          <w:p w14:paraId="302BA113" w14:textId="77777777" w:rsidR="003A77A8" w:rsidRPr="00782CA3" w:rsidRDefault="003A77A8" w:rsidP="00C94A51">
            <w:pPr>
              <w:rPr>
                <w:rFonts w:ascii="Arial Narrow" w:hAnsi="Arial Narrow"/>
                <w:b/>
                <w:bCs/>
                <w:sz w:val="18"/>
                <w:szCs w:val="18"/>
              </w:rPr>
            </w:pPr>
            <w:proofErr w:type="gramStart"/>
            <w:r w:rsidRPr="00782CA3">
              <w:rPr>
                <w:rFonts w:ascii="Arial Narrow" w:hAnsi="Arial Narrow"/>
                <w:b/>
                <w:bCs/>
                <w:sz w:val="18"/>
                <w:szCs w:val="18"/>
              </w:rPr>
              <w:t>Total</w:t>
            </w:r>
            <w:proofErr w:type="gramEnd"/>
            <w:r w:rsidRPr="00782CA3">
              <w:rPr>
                <w:rFonts w:ascii="Arial Narrow" w:hAnsi="Arial Narrow"/>
                <w:b/>
                <w:bCs/>
                <w:sz w:val="18"/>
                <w:szCs w:val="18"/>
              </w:rPr>
              <w:t xml:space="preserve"> general</w:t>
            </w:r>
          </w:p>
        </w:tc>
        <w:tc>
          <w:tcPr>
            <w:tcW w:w="1554" w:type="dxa"/>
          </w:tcPr>
          <w:p w14:paraId="14CF2EC5" w14:textId="77777777" w:rsidR="003A77A8" w:rsidRPr="00782CA3" w:rsidRDefault="003A77A8" w:rsidP="00782CA3">
            <w:pPr>
              <w:jc w:val="right"/>
              <w:rPr>
                <w:rFonts w:ascii="Arial Narrow" w:hAnsi="Arial Narrow"/>
                <w:b/>
                <w:bCs/>
                <w:sz w:val="18"/>
                <w:szCs w:val="18"/>
              </w:rPr>
            </w:pPr>
            <w:r w:rsidRPr="00782CA3">
              <w:rPr>
                <w:rFonts w:ascii="Arial Narrow" w:hAnsi="Arial Narrow"/>
                <w:b/>
                <w:bCs/>
                <w:sz w:val="18"/>
                <w:szCs w:val="18"/>
              </w:rPr>
              <w:t>$ 170.493.675.647</w:t>
            </w:r>
          </w:p>
        </w:tc>
        <w:tc>
          <w:tcPr>
            <w:tcW w:w="567" w:type="dxa"/>
          </w:tcPr>
          <w:p w14:paraId="6B41FF60"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97</w:t>
            </w:r>
          </w:p>
        </w:tc>
        <w:tc>
          <w:tcPr>
            <w:tcW w:w="567" w:type="dxa"/>
          </w:tcPr>
          <w:p w14:paraId="5DEEEE79"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106</w:t>
            </w:r>
          </w:p>
        </w:tc>
        <w:tc>
          <w:tcPr>
            <w:tcW w:w="567" w:type="dxa"/>
          </w:tcPr>
          <w:p w14:paraId="323F87AD"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27</w:t>
            </w:r>
          </w:p>
        </w:tc>
        <w:tc>
          <w:tcPr>
            <w:tcW w:w="567" w:type="dxa"/>
          </w:tcPr>
          <w:p w14:paraId="4A44CB05" w14:textId="77777777" w:rsidR="003A77A8" w:rsidRPr="00782CA3" w:rsidRDefault="003A77A8" w:rsidP="00C94A51">
            <w:pPr>
              <w:jc w:val="center"/>
              <w:rPr>
                <w:rFonts w:ascii="Arial Narrow" w:hAnsi="Arial Narrow"/>
                <w:b/>
                <w:bCs/>
                <w:sz w:val="18"/>
                <w:szCs w:val="18"/>
              </w:rPr>
            </w:pPr>
            <w:r w:rsidRPr="00782CA3">
              <w:rPr>
                <w:rFonts w:ascii="Arial Narrow" w:hAnsi="Arial Narrow"/>
                <w:b/>
                <w:bCs/>
                <w:sz w:val="18"/>
                <w:szCs w:val="18"/>
              </w:rPr>
              <w:t>106</w:t>
            </w:r>
          </w:p>
        </w:tc>
        <w:tc>
          <w:tcPr>
            <w:tcW w:w="1418" w:type="dxa"/>
          </w:tcPr>
          <w:p w14:paraId="4C2D4A1E" w14:textId="77777777" w:rsidR="003A77A8" w:rsidRPr="00782CA3" w:rsidRDefault="003A77A8" w:rsidP="00782CA3">
            <w:pPr>
              <w:jc w:val="right"/>
              <w:rPr>
                <w:rFonts w:ascii="Arial Narrow" w:hAnsi="Arial Narrow"/>
                <w:b/>
                <w:bCs/>
                <w:sz w:val="18"/>
                <w:szCs w:val="18"/>
              </w:rPr>
            </w:pPr>
            <w:r w:rsidRPr="00782CA3">
              <w:rPr>
                <w:rFonts w:ascii="Arial Narrow" w:hAnsi="Arial Narrow"/>
                <w:b/>
                <w:bCs/>
                <w:sz w:val="18"/>
                <w:szCs w:val="18"/>
              </w:rPr>
              <w:t>$ 1.364.188.518</w:t>
            </w:r>
          </w:p>
        </w:tc>
        <w:tc>
          <w:tcPr>
            <w:tcW w:w="1559" w:type="dxa"/>
          </w:tcPr>
          <w:p w14:paraId="00814FCC" w14:textId="77777777" w:rsidR="003A77A8" w:rsidRPr="00782CA3" w:rsidRDefault="003A77A8" w:rsidP="00782CA3">
            <w:pPr>
              <w:jc w:val="right"/>
              <w:rPr>
                <w:rFonts w:ascii="Arial Narrow" w:hAnsi="Arial Narrow"/>
                <w:b/>
                <w:bCs/>
                <w:sz w:val="18"/>
                <w:szCs w:val="18"/>
              </w:rPr>
            </w:pPr>
            <w:r w:rsidRPr="00782CA3">
              <w:rPr>
                <w:rFonts w:ascii="Arial Narrow" w:hAnsi="Arial Narrow"/>
                <w:b/>
                <w:bCs/>
                <w:sz w:val="18"/>
                <w:szCs w:val="18"/>
              </w:rPr>
              <w:t>$ 171.857.864.165</w:t>
            </w:r>
          </w:p>
        </w:tc>
      </w:tr>
    </w:tbl>
    <w:p w14:paraId="33221DCF" w14:textId="77777777" w:rsidR="003A77A8" w:rsidRPr="00CA329C" w:rsidRDefault="003A77A8" w:rsidP="003A77A8">
      <w:pPr>
        <w:jc w:val="both"/>
        <w:rPr>
          <w:rFonts w:ascii="Bookman Old Style" w:eastAsia="Arial" w:hAnsi="Bookman Old Style" w:cs="Arial"/>
          <w:sz w:val="18"/>
          <w:szCs w:val="18"/>
        </w:rPr>
      </w:pPr>
      <w:r w:rsidRPr="00CA329C">
        <w:rPr>
          <w:rFonts w:ascii="Bookman Old Style" w:eastAsia="Arial" w:hAnsi="Bookman Old Style" w:cs="Arial"/>
          <w:b/>
          <w:bCs/>
          <w:sz w:val="18"/>
          <w:szCs w:val="18"/>
        </w:rPr>
        <w:t xml:space="preserve">Fuente: </w:t>
      </w:r>
      <w:r w:rsidRPr="00CA329C">
        <w:rPr>
          <w:rFonts w:ascii="Bookman Old Style" w:eastAsia="Arial" w:hAnsi="Bookman Old Style" w:cs="Arial"/>
          <w:sz w:val="18"/>
          <w:szCs w:val="18"/>
        </w:rPr>
        <w:t>Elaboración propia</w:t>
      </w:r>
    </w:p>
    <w:p w14:paraId="3EDE60C5" w14:textId="77777777" w:rsidR="003A77A8" w:rsidRPr="00CA329C" w:rsidRDefault="003A77A8" w:rsidP="003A77A8">
      <w:pPr>
        <w:jc w:val="both"/>
        <w:rPr>
          <w:rFonts w:ascii="Bookman Old Style" w:eastAsia="Arial" w:hAnsi="Bookman Old Style" w:cs="Arial"/>
          <w:sz w:val="18"/>
          <w:szCs w:val="18"/>
        </w:rPr>
      </w:pPr>
    </w:p>
    <w:p w14:paraId="743345D9" w14:textId="77777777" w:rsidR="003A77A8" w:rsidRPr="00CA329C" w:rsidRDefault="003A77A8" w:rsidP="003A77A8">
      <w:pPr>
        <w:jc w:val="both"/>
        <w:textAlignment w:val="baseline"/>
        <w:rPr>
          <w:rFonts w:ascii="Bookman Old Style" w:hAnsi="Bookman Old Style" w:cs="Segoe UI"/>
          <w:lang w:eastAsia="es-CO"/>
        </w:rPr>
      </w:pPr>
      <w:r w:rsidRPr="00CA329C">
        <w:rPr>
          <w:rFonts w:ascii="Bookman Old Style" w:hAnsi="Bookman Old Style" w:cs="Segoe UI"/>
          <w:lang w:eastAsia="es-CO"/>
        </w:rPr>
        <w:t>Para la construcción y aprobación del Plan Nacional de Vigilancia y Control Fiscal - PNVCF 2024 del Grupo Interno de Trabajo para la Vigilancia y Control Fiscal de los recursos del Sistema General de Regalías, se desarrolló un proceso de planificación y programación acorde con las obligaciones legales en materia de vigilancia y control fiscal y las prioridades y requerimientos que se determinaron para contribuir a programar actuaciones que se enfocaran en los riesgos evidenciados en los ejercicios de seguimiento al recurso público, en las alertas emitidas en el marco del control preventivo y concomitante, así como en las necesidades nacionales y regionales en materia de vigilancia y control fiscal.</w:t>
      </w:r>
    </w:p>
    <w:p w14:paraId="6E0B7F54" w14:textId="77777777" w:rsidR="003A77A8" w:rsidRPr="00CA329C" w:rsidRDefault="003A77A8" w:rsidP="003A77A8">
      <w:pPr>
        <w:jc w:val="both"/>
        <w:textAlignment w:val="baseline"/>
        <w:rPr>
          <w:rFonts w:ascii="Bookman Old Style" w:hAnsi="Bookman Old Style" w:cs="Segoe UI"/>
          <w:lang w:eastAsia="es-CO"/>
        </w:rPr>
      </w:pPr>
    </w:p>
    <w:p w14:paraId="4A20B020" w14:textId="77777777" w:rsidR="003A77A8" w:rsidRPr="00CA329C" w:rsidRDefault="003A77A8" w:rsidP="003A77A8">
      <w:pPr>
        <w:jc w:val="both"/>
        <w:textAlignment w:val="baseline"/>
        <w:rPr>
          <w:rFonts w:ascii="Bookman Old Style" w:hAnsi="Bookman Old Style" w:cs="Segoe UI"/>
          <w:lang w:eastAsia="es-CO"/>
        </w:rPr>
      </w:pPr>
      <w:r w:rsidRPr="00CA329C">
        <w:rPr>
          <w:rFonts w:ascii="Bookman Old Style" w:hAnsi="Bookman Old Style" w:cs="Segoe UI"/>
          <w:lang w:eastAsia="es-CO"/>
        </w:rPr>
        <w:lastRenderedPageBreak/>
        <w:t>Es por esto que tomando como insumo más de 700 proyectos alertados a través de diferentes fuentes como DIARI, Alertas de mesas de colaboración armónicas con DNP y Procuraduría General de la Nación, solicitudes ciudadanas y proyectos OCAD Paz; se construyó un PNVCF 2024 que además de incluir las actuaciones especiales de fiscalización por departamento, también incluye actividades Transversales que responden a la auditoría de recursos en temas y sectores específicos, como lo son:  </w:t>
      </w:r>
    </w:p>
    <w:p w14:paraId="6311AA24" w14:textId="77777777" w:rsidR="003A77A8" w:rsidRPr="00CA329C" w:rsidRDefault="003A77A8" w:rsidP="003A77A8">
      <w:pPr>
        <w:textAlignment w:val="baseline"/>
        <w:rPr>
          <w:rFonts w:ascii="Bookman Old Style" w:hAnsi="Bookman Old Style" w:cs="Segoe UI"/>
          <w:lang w:eastAsia="es-CO"/>
        </w:rPr>
      </w:pPr>
    </w:p>
    <w:p w14:paraId="37B92436"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PAE  </w:t>
      </w:r>
    </w:p>
    <w:p w14:paraId="54AEEC21"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Bolívar posconflicto  </w:t>
      </w:r>
    </w:p>
    <w:p w14:paraId="55A596E3"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CTeI y energías renovables </w:t>
      </w:r>
    </w:p>
    <w:p w14:paraId="4C9A67B1"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agricultura, desarrollo rural y CTeI </w:t>
      </w:r>
    </w:p>
    <w:p w14:paraId="5A88DA59"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Corporaciones Autónomas Regionales I </w:t>
      </w:r>
    </w:p>
    <w:p w14:paraId="4F2D7B7F"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Salud I  </w:t>
      </w:r>
    </w:p>
    <w:p w14:paraId="1EE797F2" w14:textId="77777777" w:rsidR="003A77A8" w:rsidRPr="00CA329C" w:rsidRDefault="003A77A8" w:rsidP="003A77A8">
      <w:pPr>
        <w:pStyle w:val="Prrafodelista"/>
        <w:numPr>
          <w:ilvl w:val="0"/>
          <w:numId w:val="4"/>
        </w:numPr>
        <w:textAlignment w:val="baseline"/>
        <w:rPr>
          <w:rFonts w:ascii="Bookman Old Style" w:eastAsia="Times New Roman" w:hAnsi="Bookman Old Style" w:cs="Segoe UI"/>
          <w:lang w:eastAsia="es-CO"/>
        </w:rPr>
      </w:pPr>
      <w:r w:rsidRPr="00CA329C">
        <w:rPr>
          <w:rFonts w:ascii="Bookman Old Style" w:eastAsia="Times New Roman" w:hAnsi="Bookman Old Style" w:cs="Segoe UI"/>
          <w:lang w:eastAsia="es-CO"/>
        </w:rPr>
        <w:t>Transversal Eje Cafetero I  </w:t>
      </w:r>
    </w:p>
    <w:p w14:paraId="35BCEC77" w14:textId="77777777" w:rsidR="003A77A8" w:rsidRPr="00CA329C" w:rsidRDefault="003A77A8" w:rsidP="003A77A8">
      <w:pPr>
        <w:jc w:val="both"/>
        <w:textAlignment w:val="baseline"/>
        <w:rPr>
          <w:rFonts w:ascii="Bookman Old Style" w:hAnsi="Bookman Old Style" w:cs="Segoe UI"/>
          <w:lang w:eastAsia="es-CO"/>
        </w:rPr>
      </w:pPr>
      <w:r w:rsidRPr="00CA329C">
        <w:rPr>
          <w:rFonts w:ascii="Bookman Old Style" w:hAnsi="Bookman Old Style" w:cs="Segoe UI"/>
          <w:lang w:eastAsia="es-CO"/>
        </w:rPr>
        <w:t> </w:t>
      </w:r>
    </w:p>
    <w:p w14:paraId="2C874EF0" w14:textId="77777777" w:rsidR="00126477" w:rsidRPr="00CA329C" w:rsidRDefault="003A77A8" w:rsidP="00126477">
      <w:pPr>
        <w:jc w:val="both"/>
        <w:textAlignment w:val="baseline"/>
        <w:rPr>
          <w:rFonts w:ascii="Bookman Old Style" w:hAnsi="Bookman Old Style" w:cs="Segoe UI"/>
          <w:lang w:eastAsia="es-CO"/>
        </w:rPr>
      </w:pPr>
      <w:r w:rsidRPr="00CA329C">
        <w:rPr>
          <w:rFonts w:ascii="Bookman Old Style" w:hAnsi="Bookman Old Style" w:cs="Segoe UI"/>
          <w:lang w:eastAsia="es-CO"/>
        </w:rPr>
        <w:t xml:space="preserve">Además, se incluyó la Actuación Especial de Fiscalización </w:t>
      </w:r>
      <w:r w:rsidRPr="00CA329C">
        <w:rPr>
          <w:rFonts w:ascii="Bookman Old Style" w:hAnsi="Bookman Old Style" w:cs="Segoe UI"/>
          <w:i/>
          <w:iCs/>
          <w:lang w:eastAsia="es-CO"/>
        </w:rPr>
        <w:t>“Plan de Choque Denuncias Caribe I”</w:t>
      </w:r>
      <w:r w:rsidRPr="00CA329C">
        <w:rPr>
          <w:rFonts w:ascii="Bookman Old Style" w:hAnsi="Bookman Old Style" w:cs="Segoe UI"/>
          <w:lang w:eastAsia="es-CO"/>
        </w:rPr>
        <w:t xml:space="preserve"> con la que se busca gestionar denuncias recibidas en dicha región, y que requieren una auditoría y respuesta urgente. Esto busca optimizar tiempos y mejorar los indicadores de respuesta y gestión de Denuncias en esta región, la cual recibe el mayor porcentaje de solicitudes ciudadanas en comparación con otras regiones.</w:t>
      </w:r>
    </w:p>
    <w:p w14:paraId="2BC86AFF" w14:textId="1AF1AAAA" w:rsidR="003A77A8" w:rsidRPr="00CA329C" w:rsidRDefault="003A77A8" w:rsidP="00126477">
      <w:pPr>
        <w:jc w:val="both"/>
        <w:textAlignment w:val="baseline"/>
        <w:rPr>
          <w:rFonts w:ascii="Bookman Old Style" w:hAnsi="Bookman Old Style" w:cs="Segoe UI"/>
          <w:lang w:eastAsia="es-CO"/>
        </w:rPr>
      </w:pPr>
    </w:p>
    <w:p w14:paraId="42BD8357" w14:textId="77777777" w:rsidR="003A77A8" w:rsidRPr="00CA329C" w:rsidRDefault="003A77A8" w:rsidP="003A77A8">
      <w:pPr>
        <w:jc w:val="both"/>
        <w:textAlignment w:val="baseline"/>
        <w:rPr>
          <w:rFonts w:ascii="Bookman Old Style" w:hAnsi="Bookman Old Style" w:cs="Segoe UI"/>
          <w:lang w:eastAsia="es-CO"/>
        </w:rPr>
      </w:pPr>
      <w:r w:rsidRPr="00CA329C">
        <w:rPr>
          <w:rFonts w:ascii="Bookman Old Style" w:hAnsi="Bookman Old Style" w:cs="Segoe UI"/>
          <w:lang w:eastAsia="es-CO"/>
        </w:rPr>
        <w:t xml:space="preserve">Por otro lado, se sigue dando continuidad a los proyectos que no pudieron ser revisados en su totalidad en el marco de la </w:t>
      </w:r>
      <w:r w:rsidRPr="00CA329C">
        <w:rPr>
          <w:rFonts w:ascii="Bookman Old Style" w:hAnsi="Bookman Old Style" w:cs="Segoe UI"/>
          <w:i/>
          <w:iCs/>
          <w:lang w:eastAsia="es-CO"/>
        </w:rPr>
        <w:t>Intervención Funcional del Valle</w:t>
      </w:r>
      <w:r w:rsidRPr="00CA329C">
        <w:rPr>
          <w:rFonts w:ascii="Bookman Old Style" w:hAnsi="Bookman Old Style" w:cs="Segoe UI"/>
          <w:lang w:eastAsia="es-CO"/>
        </w:rPr>
        <w:t xml:space="preserve"> del año 2023, la cual buscaba evaluar el manejo de los recursos de regalías asignados y ejecutados por: Fondo Mixto para la Promoción del Deporte y la Gestión Social; Fundación Universidad del Valle e Imprenta Departamental del Valle del Cauca. Para este primer semestre se están revisando 15 de estos proyectos, y se tiene proyectada la revisión de otros 15 para el segundo semestre.</w:t>
      </w:r>
    </w:p>
    <w:p w14:paraId="7B647E1D" w14:textId="77777777" w:rsidR="003A77A8" w:rsidRPr="00CA329C" w:rsidRDefault="003A77A8" w:rsidP="003A77A8">
      <w:pPr>
        <w:jc w:val="both"/>
        <w:rPr>
          <w:rFonts w:ascii="Bookman Old Style" w:eastAsia="Arial" w:hAnsi="Bookman Old Style" w:cs="Arial"/>
        </w:rPr>
      </w:pPr>
    </w:p>
    <w:p w14:paraId="594712BF" w14:textId="77777777" w:rsidR="003A77A8" w:rsidRPr="00CA329C" w:rsidRDefault="003A77A8" w:rsidP="003A77A8">
      <w:pPr>
        <w:jc w:val="both"/>
        <w:rPr>
          <w:rFonts w:ascii="Bookman Old Style" w:hAnsi="Bookman Old Style"/>
        </w:rPr>
      </w:pPr>
      <w:r w:rsidRPr="00CA329C">
        <w:rPr>
          <w:rFonts w:ascii="Bookman Old Style" w:hAnsi="Bookman Old Style"/>
        </w:rPr>
        <w:t xml:space="preserve">En el primer semestre de 2024, se encuentran en proceso de auditoría </w:t>
      </w:r>
      <w:r w:rsidRPr="00CA329C">
        <w:rPr>
          <w:rFonts w:ascii="Bookman Old Style" w:hAnsi="Bookman Old Style"/>
          <w:b/>
          <w:bCs/>
        </w:rPr>
        <w:t>236 proyectos por valor de $3.2 billones</w:t>
      </w:r>
      <w:r w:rsidRPr="00CA329C">
        <w:rPr>
          <w:rFonts w:ascii="Bookman Old Style" w:hAnsi="Bookman Old Style"/>
        </w:rPr>
        <w:t xml:space="preserve">, estos 236 proyectos, se distribuyen en 34 Actuaciones Especiales de Fiscalización; adicional a ello se adelantan 200 seguimientos permanentes por valor de $2.4 Billones con apoyo de la DIARI. </w:t>
      </w:r>
    </w:p>
    <w:p w14:paraId="16A71F1A" w14:textId="77777777" w:rsidR="003A77A8" w:rsidRPr="00CA329C" w:rsidRDefault="003A77A8" w:rsidP="003A77A8">
      <w:pPr>
        <w:jc w:val="both"/>
        <w:rPr>
          <w:rFonts w:ascii="Bookman Old Style" w:hAnsi="Bookman Old Style"/>
        </w:rPr>
      </w:pPr>
    </w:p>
    <w:p w14:paraId="2460E9A3" w14:textId="77777777" w:rsidR="003A77A8" w:rsidRPr="00CA329C" w:rsidRDefault="003A77A8" w:rsidP="003A77A8">
      <w:pPr>
        <w:jc w:val="both"/>
        <w:rPr>
          <w:rFonts w:ascii="Bookman Old Style" w:hAnsi="Bookman Old Style"/>
        </w:rPr>
      </w:pPr>
      <w:r w:rsidRPr="00CA329C">
        <w:rPr>
          <w:rFonts w:ascii="Bookman Old Style" w:hAnsi="Bookman Old Style"/>
        </w:rPr>
        <w:t>Los cinco sectores de mayor representación de los proyectos revisados en lo transcurrido del año 2024, son: Transporte 26%, Educación 16%, Vivienda, Ciudad y Territorio 12%, Ciencia, Tecnología e Innovación 11% y Agricultura y Desarrollo Rural con el 7%.</w:t>
      </w:r>
    </w:p>
    <w:p w14:paraId="34EFC6BE" w14:textId="77777777" w:rsidR="003A77A8" w:rsidRPr="00CA329C" w:rsidRDefault="003A77A8" w:rsidP="003A77A8">
      <w:pPr>
        <w:jc w:val="both"/>
        <w:rPr>
          <w:rFonts w:ascii="Bookman Old Style" w:hAnsi="Bookman Old Style"/>
        </w:rPr>
      </w:pPr>
    </w:p>
    <w:p w14:paraId="6DA82729" w14:textId="77777777" w:rsidR="003A77A8" w:rsidRPr="00CA329C" w:rsidRDefault="003A77A8" w:rsidP="003A77A8">
      <w:pPr>
        <w:jc w:val="both"/>
        <w:rPr>
          <w:rFonts w:ascii="Bookman Old Style" w:eastAsia="Arial" w:hAnsi="Bookman Old Style" w:cs="Arial"/>
        </w:rPr>
      </w:pPr>
      <w:r w:rsidRPr="00CA329C">
        <w:rPr>
          <w:rFonts w:ascii="Bookman Old Style" w:hAnsi="Bookman Old Style"/>
        </w:rPr>
        <w:lastRenderedPageBreak/>
        <w:t xml:space="preserve">En materia de denuncias ciudadanas, el Grupo Interno de Trabajo para la Vigilancia y Control Fiscal de los Recursos del Sistema General de Regalías, al inicio del bienio 2023-2024 presentó </w:t>
      </w:r>
      <w:r w:rsidRPr="00CA329C">
        <w:rPr>
          <w:rFonts w:ascii="Bookman Old Style" w:eastAsia="Arial" w:hAnsi="Bookman Old Style" w:cs="Arial"/>
        </w:rPr>
        <w:t xml:space="preserve">un total de 344 solicitudes ciudadanas vigentes, a ese inventario inicial, se sumaron 983 solicitudes recibidas a lo largo del año 2023, para un total de 1.327, las cuales debían atenderse con prioridad mediante planes de choque en las regiones Caribe, Pacífico y Llanos. </w:t>
      </w:r>
    </w:p>
    <w:p w14:paraId="66F33C50" w14:textId="77777777" w:rsidR="003A77A8" w:rsidRPr="00CA329C" w:rsidRDefault="003A77A8" w:rsidP="003A77A8">
      <w:pPr>
        <w:jc w:val="both"/>
        <w:rPr>
          <w:rFonts w:ascii="Bookman Old Style" w:eastAsia="Arial" w:hAnsi="Bookman Old Style" w:cs="Arial"/>
        </w:rPr>
      </w:pPr>
    </w:p>
    <w:p w14:paraId="1C5DC2F9" w14:textId="77777777" w:rsidR="003A77A8"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 xml:space="preserve">A corte de mayo de 2024, se encuentran activas </w:t>
      </w:r>
      <w:r w:rsidRPr="00CA329C">
        <w:rPr>
          <w:rFonts w:ascii="Bookman Old Style" w:eastAsia="Arial" w:hAnsi="Bookman Old Style" w:cs="Arial"/>
          <w:b/>
          <w:bCs/>
        </w:rPr>
        <w:t>652 Solicitudes Ciudadanas,</w:t>
      </w:r>
      <w:r w:rsidRPr="00CA329C">
        <w:rPr>
          <w:rFonts w:ascii="Bookman Old Style" w:eastAsia="Arial" w:hAnsi="Bookman Old Style" w:cs="Arial"/>
        </w:rPr>
        <w:t xml:space="preserve"> de las cuales 566 son denuncias fiscales que en promedio corresponden a 1.234 proyectos y 86 corresponden a derechos de petición. De estas denuncias fiscales, 116 corresponden a la vigencia 2022, 295 de la vigencia 2023 y 241 de la vigencia 2024. </w:t>
      </w:r>
    </w:p>
    <w:p w14:paraId="540D923D" w14:textId="77777777" w:rsidR="003A77A8" w:rsidRPr="00CA329C" w:rsidRDefault="003A77A8" w:rsidP="003A77A8">
      <w:pPr>
        <w:jc w:val="both"/>
        <w:rPr>
          <w:rFonts w:ascii="Bookman Old Style" w:eastAsia="Arial" w:hAnsi="Bookman Old Style" w:cs="Arial"/>
        </w:rPr>
      </w:pPr>
    </w:p>
    <w:p w14:paraId="2AF63F77" w14:textId="6B1BFABE" w:rsidR="002C3F53"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En lo corrido de los 2 primeros bimestres de 2024, se obtienen los siguientes resultados de gestión:</w:t>
      </w:r>
    </w:p>
    <w:p w14:paraId="07FEBCC6" w14:textId="77777777" w:rsidR="002C3F53" w:rsidRPr="00CA329C" w:rsidRDefault="002C3F53" w:rsidP="003A77A8">
      <w:pPr>
        <w:jc w:val="both"/>
        <w:rPr>
          <w:rFonts w:ascii="Bookman Old Style" w:eastAsia="Arial" w:hAnsi="Bookman Old Style" w:cs="Arial"/>
        </w:rPr>
      </w:pPr>
    </w:p>
    <w:p w14:paraId="02995039" w14:textId="442D0856" w:rsidR="003A77A8" w:rsidRPr="00782CA3" w:rsidRDefault="003A77A8" w:rsidP="00782CA3">
      <w:pPr>
        <w:jc w:val="center"/>
        <w:rPr>
          <w:rFonts w:ascii="Bookman Old Style" w:eastAsiaTheme="majorEastAsia" w:hAnsi="Bookman Old Style" w:cstheme="majorBidi"/>
          <w:i/>
          <w:iCs/>
          <w:sz w:val="18"/>
          <w:szCs w:val="18"/>
          <w:lang w:val="es-ES"/>
        </w:rPr>
      </w:pPr>
      <w:r w:rsidRPr="00CA329C">
        <w:rPr>
          <w:rFonts w:ascii="Bookman Old Style" w:eastAsiaTheme="majorEastAsia" w:hAnsi="Bookman Old Style" w:cstheme="majorBidi"/>
          <w:i/>
          <w:iCs/>
          <w:sz w:val="18"/>
          <w:szCs w:val="18"/>
          <w:lang w:val="es-ES"/>
        </w:rPr>
        <w:t>Tabla 4. Resultados Solicitudes Ciudadanas 2024</w:t>
      </w:r>
    </w:p>
    <w:tbl>
      <w:tblPr>
        <w:tblStyle w:val="Tablaconcuadrcula"/>
        <w:tblW w:w="0" w:type="auto"/>
        <w:jc w:val="center"/>
        <w:tblLook w:val="06A0" w:firstRow="1" w:lastRow="0" w:firstColumn="1" w:lastColumn="0" w:noHBand="1" w:noVBand="1"/>
      </w:tblPr>
      <w:tblGrid>
        <w:gridCol w:w="3345"/>
        <w:gridCol w:w="3345"/>
      </w:tblGrid>
      <w:tr w:rsidR="003A77A8" w:rsidRPr="00CA329C" w14:paraId="03990573" w14:textId="77777777" w:rsidTr="00C94A51">
        <w:trPr>
          <w:trHeight w:val="20"/>
          <w:jc w:val="center"/>
        </w:trPr>
        <w:tc>
          <w:tcPr>
            <w:tcW w:w="3345" w:type="dxa"/>
          </w:tcPr>
          <w:p w14:paraId="4EA744D1" w14:textId="77777777" w:rsidR="003A77A8" w:rsidRPr="00CA329C" w:rsidRDefault="003A77A8" w:rsidP="00C94A51">
            <w:pPr>
              <w:jc w:val="center"/>
              <w:rPr>
                <w:rFonts w:ascii="Bookman Old Style" w:eastAsia="Calibri" w:hAnsi="Bookman Old Style" w:cs="Calibri"/>
                <w:b/>
                <w:bCs/>
                <w:color w:val="000000" w:themeColor="text1"/>
                <w:sz w:val="18"/>
                <w:szCs w:val="18"/>
              </w:rPr>
            </w:pPr>
            <w:r w:rsidRPr="00CA329C">
              <w:rPr>
                <w:rFonts w:ascii="Bookman Old Style" w:eastAsia="Calibri" w:hAnsi="Bookman Old Style" w:cs="Calibri"/>
                <w:b/>
                <w:bCs/>
                <w:color w:val="000000" w:themeColor="text1"/>
                <w:sz w:val="18"/>
                <w:szCs w:val="18"/>
              </w:rPr>
              <w:t>Vigencia</w:t>
            </w:r>
          </w:p>
        </w:tc>
        <w:tc>
          <w:tcPr>
            <w:tcW w:w="3345" w:type="dxa"/>
          </w:tcPr>
          <w:p w14:paraId="0207E2EB" w14:textId="77777777" w:rsidR="003A77A8" w:rsidRPr="00CA329C" w:rsidRDefault="003A77A8" w:rsidP="00C94A51">
            <w:pPr>
              <w:jc w:val="center"/>
              <w:rPr>
                <w:rFonts w:ascii="Bookman Old Style" w:eastAsia="Calibri" w:hAnsi="Bookman Old Style" w:cs="Calibri"/>
                <w:b/>
                <w:bCs/>
                <w:color w:val="000000" w:themeColor="text1"/>
                <w:sz w:val="18"/>
                <w:szCs w:val="18"/>
              </w:rPr>
            </w:pPr>
            <w:r w:rsidRPr="00CA329C">
              <w:rPr>
                <w:rFonts w:ascii="Bookman Old Style" w:eastAsia="Calibri" w:hAnsi="Bookman Old Style" w:cs="Calibri"/>
                <w:b/>
                <w:bCs/>
                <w:color w:val="000000" w:themeColor="text1"/>
                <w:sz w:val="18"/>
                <w:szCs w:val="18"/>
              </w:rPr>
              <w:t>Gestionadas en 2024</w:t>
            </w:r>
          </w:p>
        </w:tc>
      </w:tr>
      <w:tr w:rsidR="003A77A8" w:rsidRPr="00CA329C" w14:paraId="3CA379C9" w14:textId="77777777" w:rsidTr="00C94A51">
        <w:trPr>
          <w:trHeight w:val="20"/>
          <w:jc w:val="center"/>
        </w:trPr>
        <w:tc>
          <w:tcPr>
            <w:tcW w:w="3345" w:type="dxa"/>
          </w:tcPr>
          <w:p w14:paraId="2072C979" w14:textId="77777777" w:rsidR="003A77A8" w:rsidRPr="00CA329C" w:rsidRDefault="003A77A8" w:rsidP="00C94A51">
            <w:pPr>
              <w:jc w:val="center"/>
              <w:rPr>
                <w:rFonts w:ascii="Bookman Old Style" w:eastAsia="Calibri" w:hAnsi="Bookman Old Style" w:cs="Calibri"/>
                <w:color w:val="000000" w:themeColor="text1"/>
                <w:sz w:val="18"/>
                <w:szCs w:val="18"/>
              </w:rPr>
            </w:pPr>
            <w:r w:rsidRPr="00CA329C">
              <w:rPr>
                <w:rFonts w:ascii="Bookman Old Style" w:eastAsia="Calibri" w:hAnsi="Bookman Old Style" w:cs="Calibri"/>
                <w:color w:val="000000" w:themeColor="text1"/>
                <w:sz w:val="18"/>
                <w:szCs w:val="18"/>
              </w:rPr>
              <w:t>2022</w:t>
            </w:r>
          </w:p>
        </w:tc>
        <w:tc>
          <w:tcPr>
            <w:tcW w:w="3345" w:type="dxa"/>
          </w:tcPr>
          <w:p w14:paraId="6EA7F65E" w14:textId="77777777" w:rsidR="003A77A8" w:rsidRPr="00CA329C" w:rsidRDefault="003A77A8" w:rsidP="00C94A51">
            <w:pPr>
              <w:jc w:val="center"/>
              <w:rPr>
                <w:rFonts w:ascii="Bookman Old Style" w:eastAsia="Calibri" w:hAnsi="Bookman Old Style" w:cs="Calibri"/>
                <w:color w:val="000000" w:themeColor="text1"/>
                <w:sz w:val="18"/>
                <w:szCs w:val="18"/>
              </w:rPr>
            </w:pPr>
            <w:r w:rsidRPr="00CA329C">
              <w:rPr>
                <w:rFonts w:ascii="Bookman Old Style" w:eastAsia="Calibri" w:hAnsi="Bookman Old Style" w:cs="Calibri"/>
                <w:color w:val="000000" w:themeColor="text1"/>
                <w:sz w:val="18"/>
                <w:szCs w:val="18"/>
              </w:rPr>
              <w:t>25</w:t>
            </w:r>
          </w:p>
        </w:tc>
      </w:tr>
      <w:tr w:rsidR="003A77A8" w:rsidRPr="00CA329C" w14:paraId="3CB2BD01" w14:textId="77777777" w:rsidTr="00C94A51">
        <w:trPr>
          <w:trHeight w:val="20"/>
          <w:jc w:val="center"/>
        </w:trPr>
        <w:tc>
          <w:tcPr>
            <w:tcW w:w="3345" w:type="dxa"/>
          </w:tcPr>
          <w:p w14:paraId="6683D907" w14:textId="77777777" w:rsidR="003A77A8" w:rsidRPr="00CA329C" w:rsidRDefault="003A77A8" w:rsidP="00C94A51">
            <w:pPr>
              <w:jc w:val="center"/>
              <w:rPr>
                <w:rFonts w:ascii="Bookman Old Style" w:eastAsia="Calibri" w:hAnsi="Bookman Old Style" w:cs="Calibri"/>
                <w:color w:val="000000" w:themeColor="text1"/>
                <w:sz w:val="18"/>
                <w:szCs w:val="18"/>
              </w:rPr>
            </w:pPr>
            <w:r w:rsidRPr="00CA329C">
              <w:rPr>
                <w:rFonts w:ascii="Bookman Old Style" w:eastAsia="Calibri" w:hAnsi="Bookman Old Style" w:cs="Calibri"/>
                <w:color w:val="000000" w:themeColor="text1"/>
                <w:sz w:val="18"/>
                <w:szCs w:val="18"/>
              </w:rPr>
              <w:t>2023</w:t>
            </w:r>
          </w:p>
        </w:tc>
        <w:tc>
          <w:tcPr>
            <w:tcW w:w="3345" w:type="dxa"/>
          </w:tcPr>
          <w:p w14:paraId="6B29C68B" w14:textId="77777777" w:rsidR="003A77A8" w:rsidRPr="00CA329C" w:rsidRDefault="003A77A8" w:rsidP="00C94A51">
            <w:pPr>
              <w:jc w:val="center"/>
              <w:rPr>
                <w:rFonts w:ascii="Bookman Old Style" w:hAnsi="Bookman Old Style"/>
                <w:sz w:val="18"/>
                <w:szCs w:val="18"/>
              </w:rPr>
            </w:pPr>
            <w:r w:rsidRPr="00CA329C">
              <w:rPr>
                <w:rFonts w:ascii="Bookman Old Style" w:eastAsia="Calibri" w:hAnsi="Bookman Old Style" w:cs="Calibri"/>
                <w:color w:val="000000" w:themeColor="text1"/>
                <w:sz w:val="18"/>
                <w:szCs w:val="18"/>
              </w:rPr>
              <w:t>107</w:t>
            </w:r>
          </w:p>
        </w:tc>
      </w:tr>
      <w:tr w:rsidR="003A77A8" w:rsidRPr="00CA329C" w14:paraId="7EEE7B93" w14:textId="77777777" w:rsidTr="00C94A51">
        <w:trPr>
          <w:trHeight w:val="20"/>
          <w:jc w:val="center"/>
        </w:trPr>
        <w:tc>
          <w:tcPr>
            <w:tcW w:w="3345" w:type="dxa"/>
          </w:tcPr>
          <w:p w14:paraId="3009A89B" w14:textId="77777777" w:rsidR="003A77A8" w:rsidRPr="00CA329C" w:rsidRDefault="003A77A8" w:rsidP="00C94A51">
            <w:pPr>
              <w:jc w:val="center"/>
              <w:rPr>
                <w:rFonts w:ascii="Bookman Old Style" w:eastAsia="Calibri" w:hAnsi="Bookman Old Style" w:cs="Calibri"/>
                <w:color w:val="000000" w:themeColor="text1"/>
                <w:sz w:val="18"/>
                <w:szCs w:val="18"/>
              </w:rPr>
            </w:pPr>
            <w:r w:rsidRPr="00CA329C">
              <w:rPr>
                <w:rFonts w:ascii="Bookman Old Style" w:eastAsia="Calibri" w:hAnsi="Bookman Old Style" w:cs="Calibri"/>
                <w:color w:val="000000" w:themeColor="text1"/>
                <w:sz w:val="18"/>
                <w:szCs w:val="18"/>
              </w:rPr>
              <w:t>2024</w:t>
            </w:r>
          </w:p>
        </w:tc>
        <w:tc>
          <w:tcPr>
            <w:tcW w:w="3345" w:type="dxa"/>
          </w:tcPr>
          <w:p w14:paraId="7D960298" w14:textId="77777777" w:rsidR="003A77A8" w:rsidRPr="00CA329C" w:rsidRDefault="003A77A8" w:rsidP="00C94A51">
            <w:pPr>
              <w:jc w:val="center"/>
              <w:rPr>
                <w:rFonts w:ascii="Bookman Old Style" w:eastAsia="Calibri" w:hAnsi="Bookman Old Style" w:cs="Calibri"/>
                <w:color w:val="000000" w:themeColor="text1"/>
                <w:sz w:val="18"/>
                <w:szCs w:val="18"/>
              </w:rPr>
            </w:pPr>
            <w:r w:rsidRPr="00CA329C">
              <w:rPr>
                <w:rFonts w:ascii="Bookman Old Style" w:eastAsia="Calibri" w:hAnsi="Bookman Old Style" w:cs="Calibri"/>
                <w:color w:val="000000" w:themeColor="text1"/>
                <w:sz w:val="18"/>
                <w:szCs w:val="18"/>
              </w:rPr>
              <w:t>64</w:t>
            </w:r>
          </w:p>
        </w:tc>
      </w:tr>
      <w:tr w:rsidR="003A77A8" w:rsidRPr="00CA329C" w14:paraId="4EFEFCA8" w14:textId="77777777" w:rsidTr="00C94A51">
        <w:trPr>
          <w:trHeight w:val="20"/>
          <w:jc w:val="center"/>
        </w:trPr>
        <w:tc>
          <w:tcPr>
            <w:tcW w:w="3345" w:type="dxa"/>
          </w:tcPr>
          <w:p w14:paraId="1E07A812" w14:textId="77777777" w:rsidR="003A77A8" w:rsidRPr="00CA329C" w:rsidRDefault="003A77A8" w:rsidP="00C94A51">
            <w:pPr>
              <w:jc w:val="center"/>
              <w:rPr>
                <w:rFonts w:ascii="Bookman Old Style" w:eastAsia="Calibri" w:hAnsi="Bookman Old Style" w:cs="Calibri"/>
                <w:b/>
                <w:bCs/>
                <w:color w:val="000000" w:themeColor="text1"/>
                <w:sz w:val="18"/>
                <w:szCs w:val="18"/>
              </w:rPr>
            </w:pPr>
            <w:r w:rsidRPr="00CA329C">
              <w:rPr>
                <w:rFonts w:ascii="Bookman Old Style" w:eastAsia="Calibri" w:hAnsi="Bookman Old Style" w:cs="Calibri"/>
                <w:b/>
                <w:bCs/>
                <w:color w:val="000000" w:themeColor="text1"/>
                <w:sz w:val="18"/>
                <w:szCs w:val="18"/>
              </w:rPr>
              <w:t>Total</w:t>
            </w:r>
          </w:p>
        </w:tc>
        <w:tc>
          <w:tcPr>
            <w:tcW w:w="3345" w:type="dxa"/>
          </w:tcPr>
          <w:p w14:paraId="26C78325" w14:textId="77777777" w:rsidR="003A77A8" w:rsidRPr="00CA329C" w:rsidRDefault="003A77A8" w:rsidP="00C94A51">
            <w:pPr>
              <w:jc w:val="center"/>
              <w:rPr>
                <w:rFonts w:ascii="Bookman Old Style" w:eastAsia="Calibri" w:hAnsi="Bookman Old Style" w:cs="Calibri"/>
                <w:b/>
                <w:bCs/>
                <w:color w:val="000000" w:themeColor="text1"/>
                <w:sz w:val="18"/>
                <w:szCs w:val="18"/>
              </w:rPr>
            </w:pPr>
            <w:r w:rsidRPr="00CA329C">
              <w:rPr>
                <w:rFonts w:ascii="Bookman Old Style" w:eastAsia="Calibri" w:hAnsi="Bookman Old Style" w:cs="Calibri"/>
                <w:b/>
                <w:bCs/>
                <w:color w:val="000000" w:themeColor="text1"/>
                <w:sz w:val="18"/>
                <w:szCs w:val="18"/>
              </w:rPr>
              <w:t>196</w:t>
            </w:r>
          </w:p>
        </w:tc>
      </w:tr>
    </w:tbl>
    <w:p w14:paraId="6561DADB" w14:textId="77777777" w:rsidR="003A77A8" w:rsidRPr="00CA329C" w:rsidRDefault="003A77A8" w:rsidP="003A77A8">
      <w:pPr>
        <w:jc w:val="both"/>
        <w:rPr>
          <w:rFonts w:ascii="Bookman Old Style" w:eastAsia="Arial" w:hAnsi="Bookman Old Style" w:cs="Arial"/>
          <w:sz w:val="18"/>
          <w:szCs w:val="18"/>
        </w:rPr>
      </w:pPr>
      <w:r w:rsidRPr="00CA329C">
        <w:rPr>
          <w:rFonts w:ascii="Bookman Old Style" w:eastAsia="Arial" w:hAnsi="Bookman Old Style" w:cs="Arial"/>
          <w:b/>
          <w:bCs/>
          <w:sz w:val="18"/>
          <w:szCs w:val="18"/>
        </w:rPr>
        <w:t xml:space="preserve">Fuente: </w:t>
      </w:r>
      <w:r w:rsidRPr="00CA329C">
        <w:rPr>
          <w:rFonts w:ascii="Bookman Old Style" w:eastAsia="Arial" w:hAnsi="Bookman Old Style" w:cs="Arial"/>
          <w:sz w:val="18"/>
          <w:szCs w:val="18"/>
        </w:rPr>
        <w:t>Elaboración propia</w:t>
      </w:r>
    </w:p>
    <w:p w14:paraId="7615FA04" w14:textId="77777777" w:rsidR="003A77A8" w:rsidRPr="00CA329C" w:rsidRDefault="003A77A8" w:rsidP="003A77A8">
      <w:pPr>
        <w:jc w:val="both"/>
        <w:rPr>
          <w:rFonts w:ascii="Bookman Old Style" w:eastAsia="Arial" w:hAnsi="Bookman Old Style" w:cs="Arial"/>
        </w:rPr>
      </w:pPr>
    </w:p>
    <w:p w14:paraId="44257253" w14:textId="77777777" w:rsidR="003A77A8" w:rsidRPr="00CA329C" w:rsidRDefault="003A77A8" w:rsidP="003A77A8">
      <w:pPr>
        <w:jc w:val="both"/>
        <w:rPr>
          <w:rFonts w:ascii="Bookman Old Style" w:eastAsia="Arial" w:hAnsi="Bookman Old Style" w:cs="Arial"/>
        </w:rPr>
      </w:pPr>
      <w:r w:rsidRPr="00CA329C">
        <w:rPr>
          <w:rFonts w:ascii="Bookman Old Style" w:eastAsia="Arial" w:hAnsi="Bookman Old Style" w:cs="Arial"/>
        </w:rPr>
        <w:t xml:space="preserve">Consolidándose en </w:t>
      </w:r>
      <w:r w:rsidRPr="00CA329C">
        <w:rPr>
          <w:rFonts w:ascii="Bookman Old Style" w:eastAsia="Arial" w:hAnsi="Bookman Old Style" w:cs="Arial"/>
          <w:b/>
          <w:bCs/>
        </w:rPr>
        <w:t>19 hallazgos con incidencia fiscal</w:t>
      </w:r>
      <w:r w:rsidRPr="00CA329C">
        <w:rPr>
          <w:rFonts w:ascii="Bookman Old Style" w:eastAsia="Arial" w:hAnsi="Bookman Old Style" w:cs="Arial"/>
        </w:rPr>
        <w:t xml:space="preserve"> </w:t>
      </w:r>
      <w:r w:rsidRPr="00CA329C">
        <w:rPr>
          <w:rFonts w:ascii="Bookman Old Style" w:eastAsia="Arial" w:hAnsi="Bookman Old Style" w:cs="Arial"/>
          <w:b/>
          <w:bCs/>
        </w:rPr>
        <w:t>por más de $19.550 millones</w:t>
      </w:r>
      <w:r w:rsidRPr="00CA329C">
        <w:rPr>
          <w:rFonts w:ascii="Bookman Old Style" w:eastAsia="Arial" w:hAnsi="Bookman Old Style" w:cs="Arial"/>
        </w:rPr>
        <w:t>, como se detalla en el siguiente cuadro por Región:</w:t>
      </w:r>
    </w:p>
    <w:p w14:paraId="62AF3AFA" w14:textId="77777777" w:rsidR="00972AB4" w:rsidRPr="00CA329C" w:rsidRDefault="00972AB4" w:rsidP="003A77A8">
      <w:pPr>
        <w:jc w:val="both"/>
        <w:rPr>
          <w:rFonts w:ascii="Bookman Old Style" w:eastAsia="Arial" w:hAnsi="Bookman Old Style" w:cs="Arial"/>
        </w:rPr>
      </w:pPr>
    </w:p>
    <w:p w14:paraId="28037814" w14:textId="79E67CD0" w:rsidR="003A77A8" w:rsidRPr="00782CA3" w:rsidRDefault="003A77A8" w:rsidP="00782CA3">
      <w:pPr>
        <w:jc w:val="center"/>
        <w:rPr>
          <w:rFonts w:ascii="Bookman Old Style" w:eastAsiaTheme="majorEastAsia" w:hAnsi="Bookman Old Style" w:cstheme="majorBidi"/>
          <w:i/>
          <w:iCs/>
          <w:sz w:val="18"/>
          <w:szCs w:val="18"/>
        </w:rPr>
      </w:pPr>
      <w:r w:rsidRPr="00CA329C">
        <w:rPr>
          <w:rFonts w:ascii="Bookman Old Style" w:eastAsiaTheme="majorEastAsia" w:hAnsi="Bookman Old Style" w:cstheme="majorBidi"/>
          <w:i/>
          <w:iCs/>
          <w:sz w:val="18"/>
          <w:szCs w:val="18"/>
        </w:rPr>
        <w:t>Tabla 5. Consolidado total de Hallazgos por Región 2024</w:t>
      </w:r>
    </w:p>
    <w:tbl>
      <w:tblPr>
        <w:tblStyle w:val="Tablaconcuadrculaclara"/>
        <w:tblW w:w="3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49"/>
        <w:gridCol w:w="2558"/>
        <w:gridCol w:w="678"/>
        <w:gridCol w:w="532"/>
        <w:gridCol w:w="533"/>
        <w:gridCol w:w="528"/>
      </w:tblGrid>
      <w:tr w:rsidR="003A77A8" w:rsidRPr="00782CA3" w14:paraId="0FE63624" w14:textId="77777777" w:rsidTr="00782CA3">
        <w:trPr>
          <w:trHeight w:val="300"/>
          <w:tblHeader/>
          <w:jc w:val="center"/>
        </w:trPr>
        <w:tc>
          <w:tcPr>
            <w:tcW w:w="1330" w:type="pct"/>
          </w:tcPr>
          <w:p w14:paraId="28226A70"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REGIÓN</w:t>
            </w:r>
          </w:p>
        </w:tc>
        <w:tc>
          <w:tcPr>
            <w:tcW w:w="1945" w:type="pct"/>
          </w:tcPr>
          <w:p w14:paraId="4B5A15FD"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Valor H. Fiscales</w:t>
            </w:r>
          </w:p>
        </w:tc>
        <w:tc>
          <w:tcPr>
            <w:tcW w:w="515" w:type="pct"/>
          </w:tcPr>
          <w:p w14:paraId="5A0A79CE" w14:textId="13E2ABD3"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 F</w:t>
            </w:r>
          </w:p>
        </w:tc>
        <w:tc>
          <w:tcPr>
            <w:tcW w:w="404" w:type="pct"/>
          </w:tcPr>
          <w:p w14:paraId="5EEFA714" w14:textId="6CC31AA9"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 A</w:t>
            </w:r>
          </w:p>
        </w:tc>
        <w:tc>
          <w:tcPr>
            <w:tcW w:w="405" w:type="pct"/>
          </w:tcPr>
          <w:p w14:paraId="2AE9A2E7"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 D</w:t>
            </w:r>
          </w:p>
        </w:tc>
        <w:tc>
          <w:tcPr>
            <w:tcW w:w="402" w:type="pct"/>
          </w:tcPr>
          <w:p w14:paraId="601B3C53" w14:textId="7D1A15CB"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w:t>
            </w:r>
            <w:r w:rsidR="002C3F53" w:rsidRPr="00782CA3">
              <w:rPr>
                <w:rFonts w:ascii="Arial Narrow" w:eastAsia="Arial Narrow" w:hAnsi="Arial Narrow" w:cs="Arial Narrow"/>
                <w:b/>
                <w:bCs/>
                <w:sz w:val="18"/>
                <w:szCs w:val="18"/>
              </w:rPr>
              <w:t xml:space="preserve"> </w:t>
            </w:r>
            <w:r w:rsidRPr="00782CA3">
              <w:rPr>
                <w:rFonts w:ascii="Arial Narrow" w:eastAsia="Arial Narrow" w:hAnsi="Arial Narrow" w:cs="Arial Narrow"/>
                <w:b/>
                <w:bCs/>
                <w:sz w:val="18"/>
                <w:szCs w:val="18"/>
              </w:rPr>
              <w:t>P</w:t>
            </w:r>
          </w:p>
        </w:tc>
      </w:tr>
      <w:tr w:rsidR="003A77A8" w:rsidRPr="00782CA3" w14:paraId="1EDE2541" w14:textId="77777777" w:rsidTr="00782CA3">
        <w:trPr>
          <w:trHeight w:val="300"/>
          <w:jc w:val="center"/>
        </w:trPr>
        <w:tc>
          <w:tcPr>
            <w:tcW w:w="1330" w:type="pct"/>
          </w:tcPr>
          <w:p w14:paraId="0DB7AB78" w14:textId="77777777" w:rsidR="003A77A8" w:rsidRPr="00782CA3" w:rsidRDefault="003A77A8" w:rsidP="00C94A51">
            <w:pPr>
              <w:rPr>
                <w:rFonts w:ascii="Arial Narrow" w:eastAsia="Arial Narrow" w:hAnsi="Arial Narrow" w:cs="Arial Narrow"/>
                <w:sz w:val="18"/>
                <w:szCs w:val="18"/>
              </w:rPr>
            </w:pPr>
            <w:r w:rsidRPr="00782CA3">
              <w:rPr>
                <w:rFonts w:ascii="Arial Narrow" w:eastAsia="Arial Narrow" w:hAnsi="Arial Narrow" w:cs="Arial Narrow"/>
                <w:sz w:val="18"/>
                <w:szCs w:val="18"/>
              </w:rPr>
              <w:t>CARIBE</w:t>
            </w:r>
          </w:p>
        </w:tc>
        <w:tc>
          <w:tcPr>
            <w:tcW w:w="1945" w:type="pct"/>
          </w:tcPr>
          <w:p w14:paraId="5A39CA66"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$ 10.524.318.022</w:t>
            </w:r>
          </w:p>
        </w:tc>
        <w:tc>
          <w:tcPr>
            <w:tcW w:w="515" w:type="pct"/>
          </w:tcPr>
          <w:p w14:paraId="7616808B"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5</w:t>
            </w:r>
          </w:p>
        </w:tc>
        <w:tc>
          <w:tcPr>
            <w:tcW w:w="404" w:type="pct"/>
          </w:tcPr>
          <w:p w14:paraId="584E5E5D"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5</w:t>
            </w:r>
          </w:p>
        </w:tc>
        <w:tc>
          <w:tcPr>
            <w:tcW w:w="405" w:type="pct"/>
          </w:tcPr>
          <w:p w14:paraId="5186F804"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5</w:t>
            </w:r>
          </w:p>
        </w:tc>
        <w:tc>
          <w:tcPr>
            <w:tcW w:w="402" w:type="pct"/>
          </w:tcPr>
          <w:p w14:paraId="41E59050"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3</w:t>
            </w:r>
          </w:p>
        </w:tc>
      </w:tr>
      <w:tr w:rsidR="003A77A8" w:rsidRPr="00782CA3" w14:paraId="6F51CB1F" w14:textId="77777777" w:rsidTr="00782CA3">
        <w:trPr>
          <w:trHeight w:val="300"/>
          <w:jc w:val="center"/>
        </w:trPr>
        <w:tc>
          <w:tcPr>
            <w:tcW w:w="1330" w:type="pct"/>
          </w:tcPr>
          <w:p w14:paraId="4B48006F" w14:textId="77777777" w:rsidR="003A77A8" w:rsidRPr="00782CA3" w:rsidRDefault="003A77A8" w:rsidP="00C94A51">
            <w:pPr>
              <w:rPr>
                <w:rFonts w:ascii="Arial Narrow" w:eastAsia="Arial Narrow" w:hAnsi="Arial Narrow" w:cs="Arial Narrow"/>
                <w:sz w:val="18"/>
                <w:szCs w:val="18"/>
              </w:rPr>
            </w:pPr>
            <w:r w:rsidRPr="00782CA3">
              <w:rPr>
                <w:rFonts w:ascii="Arial Narrow" w:eastAsia="Arial Narrow" w:hAnsi="Arial Narrow" w:cs="Arial Narrow"/>
                <w:sz w:val="18"/>
                <w:szCs w:val="18"/>
              </w:rPr>
              <w:t>CENTRO</w:t>
            </w:r>
          </w:p>
        </w:tc>
        <w:tc>
          <w:tcPr>
            <w:tcW w:w="1945" w:type="pct"/>
          </w:tcPr>
          <w:p w14:paraId="244589A7"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$ 4.758.694.119</w:t>
            </w:r>
          </w:p>
        </w:tc>
        <w:tc>
          <w:tcPr>
            <w:tcW w:w="515" w:type="pct"/>
          </w:tcPr>
          <w:p w14:paraId="1ABE91A7"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11</w:t>
            </w:r>
          </w:p>
        </w:tc>
        <w:tc>
          <w:tcPr>
            <w:tcW w:w="404" w:type="pct"/>
          </w:tcPr>
          <w:p w14:paraId="1BE6802C"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11</w:t>
            </w:r>
          </w:p>
        </w:tc>
        <w:tc>
          <w:tcPr>
            <w:tcW w:w="405" w:type="pct"/>
          </w:tcPr>
          <w:p w14:paraId="74CFDCEA"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11</w:t>
            </w:r>
          </w:p>
        </w:tc>
        <w:tc>
          <w:tcPr>
            <w:tcW w:w="402" w:type="pct"/>
          </w:tcPr>
          <w:p w14:paraId="655B0167"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r>
      <w:tr w:rsidR="003A77A8" w:rsidRPr="00782CA3" w14:paraId="33DE0ACD" w14:textId="77777777" w:rsidTr="00782CA3">
        <w:trPr>
          <w:trHeight w:val="300"/>
          <w:jc w:val="center"/>
        </w:trPr>
        <w:tc>
          <w:tcPr>
            <w:tcW w:w="1330" w:type="pct"/>
          </w:tcPr>
          <w:p w14:paraId="2FEA4405" w14:textId="77777777" w:rsidR="003A77A8" w:rsidRPr="00782CA3" w:rsidRDefault="003A77A8" w:rsidP="00C94A51">
            <w:pPr>
              <w:rPr>
                <w:rFonts w:ascii="Arial Narrow" w:eastAsia="Arial Narrow" w:hAnsi="Arial Narrow" w:cs="Arial Narrow"/>
                <w:sz w:val="18"/>
                <w:szCs w:val="18"/>
              </w:rPr>
            </w:pPr>
            <w:r w:rsidRPr="00782CA3">
              <w:rPr>
                <w:rFonts w:ascii="Arial Narrow" w:eastAsia="Arial Narrow" w:hAnsi="Arial Narrow" w:cs="Arial Narrow"/>
                <w:sz w:val="18"/>
                <w:szCs w:val="18"/>
              </w:rPr>
              <w:t>EJE CAFETERO</w:t>
            </w:r>
          </w:p>
        </w:tc>
        <w:tc>
          <w:tcPr>
            <w:tcW w:w="1945" w:type="pct"/>
          </w:tcPr>
          <w:p w14:paraId="4940530D"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$ 1.330.922.056</w:t>
            </w:r>
          </w:p>
        </w:tc>
        <w:tc>
          <w:tcPr>
            <w:tcW w:w="515" w:type="pct"/>
          </w:tcPr>
          <w:p w14:paraId="43BEEE64"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4" w:type="pct"/>
          </w:tcPr>
          <w:p w14:paraId="0ECC55E9"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2</w:t>
            </w:r>
          </w:p>
        </w:tc>
        <w:tc>
          <w:tcPr>
            <w:tcW w:w="405" w:type="pct"/>
          </w:tcPr>
          <w:p w14:paraId="50088E7B"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2</w:t>
            </w:r>
          </w:p>
        </w:tc>
        <w:tc>
          <w:tcPr>
            <w:tcW w:w="402" w:type="pct"/>
          </w:tcPr>
          <w:p w14:paraId="734EDF6B"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0</w:t>
            </w:r>
          </w:p>
        </w:tc>
      </w:tr>
      <w:tr w:rsidR="003A77A8" w:rsidRPr="00782CA3" w14:paraId="2F800C95" w14:textId="77777777" w:rsidTr="00782CA3">
        <w:trPr>
          <w:trHeight w:val="300"/>
          <w:jc w:val="center"/>
        </w:trPr>
        <w:tc>
          <w:tcPr>
            <w:tcW w:w="1330" w:type="pct"/>
          </w:tcPr>
          <w:p w14:paraId="685128EC" w14:textId="77777777" w:rsidR="003A77A8" w:rsidRPr="00782CA3" w:rsidRDefault="003A77A8" w:rsidP="00C94A51">
            <w:pPr>
              <w:rPr>
                <w:rFonts w:ascii="Arial Narrow" w:eastAsia="Arial Narrow" w:hAnsi="Arial Narrow" w:cs="Arial Narrow"/>
                <w:sz w:val="18"/>
                <w:szCs w:val="18"/>
              </w:rPr>
            </w:pPr>
            <w:r w:rsidRPr="00782CA3">
              <w:rPr>
                <w:rFonts w:ascii="Arial Narrow" w:eastAsia="Arial Narrow" w:hAnsi="Arial Narrow" w:cs="Arial Narrow"/>
                <w:sz w:val="18"/>
                <w:szCs w:val="18"/>
              </w:rPr>
              <w:t>LLANOS</w:t>
            </w:r>
          </w:p>
        </w:tc>
        <w:tc>
          <w:tcPr>
            <w:tcW w:w="1945" w:type="pct"/>
          </w:tcPr>
          <w:p w14:paraId="0C9BC665"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$ 2.648.922.446</w:t>
            </w:r>
          </w:p>
        </w:tc>
        <w:tc>
          <w:tcPr>
            <w:tcW w:w="515" w:type="pct"/>
          </w:tcPr>
          <w:p w14:paraId="4F16D04E"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4" w:type="pct"/>
          </w:tcPr>
          <w:p w14:paraId="39422258"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5" w:type="pct"/>
          </w:tcPr>
          <w:p w14:paraId="392C53EC"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2" w:type="pct"/>
          </w:tcPr>
          <w:p w14:paraId="749C6949"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r>
      <w:tr w:rsidR="003A77A8" w:rsidRPr="00782CA3" w14:paraId="7C8EB451" w14:textId="77777777" w:rsidTr="00782CA3">
        <w:trPr>
          <w:trHeight w:val="300"/>
          <w:jc w:val="center"/>
        </w:trPr>
        <w:tc>
          <w:tcPr>
            <w:tcW w:w="1330" w:type="pct"/>
          </w:tcPr>
          <w:p w14:paraId="5E6F7BBB" w14:textId="77777777" w:rsidR="003A77A8" w:rsidRPr="00782CA3" w:rsidRDefault="003A77A8" w:rsidP="00C94A51">
            <w:pPr>
              <w:rPr>
                <w:rFonts w:ascii="Arial Narrow" w:eastAsia="Arial Narrow" w:hAnsi="Arial Narrow" w:cs="Arial Narrow"/>
                <w:sz w:val="18"/>
                <w:szCs w:val="18"/>
              </w:rPr>
            </w:pPr>
            <w:r w:rsidRPr="00782CA3">
              <w:rPr>
                <w:rFonts w:ascii="Arial Narrow" w:eastAsia="Arial Narrow" w:hAnsi="Arial Narrow" w:cs="Arial Narrow"/>
                <w:sz w:val="18"/>
                <w:szCs w:val="18"/>
              </w:rPr>
              <w:t>PACIFICO</w:t>
            </w:r>
          </w:p>
        </w:tc>
        <w:tc>
          <w:tcPr>
            <w:tcW w:w="1945" w:type="pct"/>
          </w:tcPr>
          <w:p w14:paraId="75EA9956"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$ 287.343.337</w:t>
            </w:r>
          </w:p>
        </w:tc>
        <w:tc>
          <w:tcPr>
            <w:tcW w:w="515" w:type="pct"/>
          </w:tcPr>
          <w:p w14:paraId="4409615E"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4" w:type="pct"/>
          </w:tcPr>
          <w:p w14:paraId="36E926FE"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5" w:type="pct"/>
          </w:tcPr>
          <w:p w14:paraId="2989C1EE"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1</w:t>
            </w:r>
          </w:p>
        </w:tc>
        <w:tc>
          <w:tcPr>
            <w:tcW w:w="402" w:type="pct"/>
          </w:tcPr>
          <w:p w14:paraId="24E19144" w14:textId="77777777" w:rsidR="003A77A8" w:rsidRPr="00782CA3" w:rsidRDefault="003A77A8" w:rsidP="00C94A51">
            <w:pPr>
              <w:jc w:val="center"/>
              <w:rPr>
                <w:rFonts w:ascii="Arial Narrow" w:eastAsia="Arial Narrow" w:hAnsi="Arial Narrow" w:cs="Arial Narrow"/>
                <w:sz w:val="18"/>
                <w:szCs w:val="18"/>
              </w:rPr>
            </w:pPr>
            <w:r w:rsidRPr="00782CA3">
              <w:rPr>
                <w:rFonts w:ascii="Arial Narrow" w:eastAsia="Arial Narrow" w:hAnsi="Arial Narrow" w:cs="Arial Narrow"/>
                <w:sz w:val="18"/>
                <w:szCs w:val="18"/>
              </w:rPr>
              <w:t>0</w:t>
            </w:r>
          </w:p>
        </w:tc>
      </w:tr>
      <w:tr w:rsidR="003A77A8" w:rsidRPr="00782CA3" w14:paraId="54FFD051" w14:textId="77777777" w:rsidTr="00782CA3">
        <w:trPr>
          <w:trHeight w:val="300"/>
          <w:jc w:val="center"/>
        </w:trPr>
        <w:tc>
          <w:tcPr>
            <w:tcW w:w="1330" w:type="pct"/>
          </w:tcPr>
          <w:p w14:paraId="09A886BC" w14:textId="77777777" w:rsidR="003A77A8" w:rsidRPr="00782CA3" w:rsidRDefault="003A77A8" w:rsidP="00C94A51">
            <w:pPr>
              <w:rPr>
                <w:rFonts w:ascii="Arial Narrow" w:eastAsia="Arial Narrow" w:hAnsi="Arial Narrow" w:cs="Arial Narrow"/>
                <w:b/>
                <w:bCs/>
                <w:sz w:val="18"/>
                <w:szCs w:val="18"/>
              </w:rPr>
            </w:pPr>
            <w:proofErr w:type="gramStart"/>
            <w:r w:rsidRPr="00782CA3">
              <w:rPr>
                <w:rFonts w:ascii="Arial Narrow" w:eastAsia="Arial Narrow" w:hAnsi="Arial Narrow" w:cs="Arial Narrow"/>
                <w:b/>
                <w:bCs/>
                <w:sz w:val="18"/>
                <w:szCs w:val="18"/>
              </w:rPr>
              <w:t>Total</w:t>
            </w:r>
            <w:proofErr w:type="gramEnd"/>
            <w:r w:rsidRPr="00782CA3">
              <w:rPr>
                <w:rFonts w:ascii="Arial Narrow" w:eastAsia="Arial Narrow" w:hAnsi="Arial Narrow" w:cs="Arial Narrow"/>
                <w:b/>
                <w:bCs/>
                <w:sz w:val="18"/>
                <w:szCs w:val="18"/>
              </w:rPr>
              <w:t xml:space="preserve"> general</w:t>
            </w:r>
          </w:p>
        </w:tc>
        <w:tc>
          <w:tcPr>
            <w:tcW w:w="1945" w:type="pct"/>
          </w:tcPr>
          <w:p w14:paraId="21457ECA"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$ 19.550.199.980</w:t>
            </w:r>
          </w:p>
        </w:tc>
        <w:tc>
          <w:tcPr>
            <w:tcW w:w="515" w:type="pct"/>
          </w:tcPr>
          <w:p w14:paraId="021DD079"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19</w:t>
            </w:r>
          </w:p>
        </w:tc>
        <w:tc>
          <w:tcPr>
            <w:tcW w:w="404" w:type="pct"/>
          </w:tcPr>
          <w:p w14:paraId="4CD35134"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20</w:t>
            </w:r>
          </w:p>
        </w:tc>
        <w:tc>
          <w:tcPr>
            <w:tcW w:w="405" w:type="pct"/>
          </w:tcPr>
          <w:p w14:paraId="61DF07EA"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20</w:t>
            </w:r>
          </w:p>
        </w:tc>
        <w:tc>
          <w:tcPr>
            <w:tcW w:w="402" w:type="pct"/>
          </w:tcPr>
          <w:p w14:paraId="443F8C8D" w14:textId="77777777" w:rsidR="003A77A8" w:rsidRPr="00782CA3" w:rsidRDefault="003A77A8" w:rsidP="00C94A51">
            <w:pPr>
              <w:jc w:val="center"/>
              <w:rPr>
                <w:rFonts w:ascii="Arial Narrow" w:eastAsia="Arial Narrow" w:hAnsi="Arial Narrow" w:cs="Arial Narrow"/>
                <w:b/>
                <w:bCs/>
                <w:sz w:val="18"/>
                <w:szCs w:val="18"/>
              </w:rPr>
            </w:pPr>
            <w:r w:rsidRPr="00782CA3">
              <w:rPr>
                <w:rFonts w:ascii="Arial Narrow" w:eastAsia="Arial Narrow" w:hAnsi="Arial Narrow" w:cs="Arial Narrow"/>
                <w:b/>
                <w:bCs/>
                <w:sz w:val="18"/>
                <w:szCs w:val="18"/>
              </w:rPr>
              <w:t>5</w:t>
            </w:r>
          </w:p>
        </w:tc>
      </w:tr>
    </w:tbl>
    <w:p w14:paraId="74A9FE46" w14:textId="77777777" w:rsidR="003A77A8" w:rsidRPr="00CA329C" w:rsidRDefault="003A77A8" w:rsidP="003A77A8">
      <w:pPr>
        <w:jc w:val="both"/>
        <w:rPr>
          <w:rFonts w:ascii="Bookman Old Style" w:eastAsia="Arial" w:hAnsi="Bookman Old Style" w:cs="Arial"/>
          <w:sz w:val="18"/>
          <w:szCs w:val="18"/>
        </w:rPr>
      </w:pPr>
      <w:r w:rsidRPr="00CA329C">
        <w:rPr>
          <w:rFonts w:ascii="Bookman Old Style" w:eastAsia="Arial" w:hAnsi="Bookman Old Style" w:cs="Arial"/>
          <w:b/>
          <w:bCs/>
          <w:sz w:val="18"/>
          <w:szCs w:val="18"/>
        </w:rPr>
        <w:t xml:space="preserve">Fuente: </w:t>
      </w:r>
      <w:r w:rsidRPr="00CA329C">
        <w:rPr>
          <w:rFonts w:ascii="Bookman Old Style" w:eastAsia="Arial" w:hAnsi="Bookman Old Style" w:cs="Arial"/>
          <w:sz w:val="18"/>
          <w:szCs w:val="18"/>
        </w:rPr>
        <w:t>Elaboración propia</w:t>
      </w:r>
    </w:p>
    <w:p w14:paraId="5EB24026" w14:textId="77777777" w:rsidR="003A77A8" w:rsidRPr="00CA329C" w:rsidRDefault="003A77A8" w:rsidP="003A77A8">
      <w:pPr>
        <w:jc w:val="both"/>
        <w:rPr>
          <w:rFonts w:ascii="Bookman Old Style" w:eastAsia="Arial" w:hAnsi="Bookman Old Style" w:cs="Arial"/>
          <w:sz w:val="18"/>
          <w:szCs w:val="18"/>
        </w:rPr>
      </w:pPr>
    </w:p>
    <w:p w14:paraId="388CBCBD" w14:textId="77777777" w:rsidR="003A77A8" w:rsidRPr="00CA329C" w:rsidRDefault="003A77A8" w:rsidP="003A77A8">
      <w:pPr>
        <w:jc w:val="both"/>
        <w:rPr>
          <w:rFonts w:ascii="Bookman Old Style" w:eastAsia="Arial" w:hAnsi="Bookman Old Style" w:cs="Arial"/>
          <w:color w:val="000000" w:themeColor="text1"/>
        </w:rPr>
      </w:pPr>
      <w:r w:rsidRPr="00CA329C">
        <w:rPr>
          <w:rFonts w:ascii="Bookman Old Style" w:eastAsia="Arial" w:hAnsi="Bookman Old Style" w:cs="Arial"/>
          <w:color w:val="000000" w:themeColor="text1"/>
        </w:rPr>
        <w:t xml:space="preserve">Es de resaltar que </w:t>
      </w:r>
      <w:r w:rsidRPr="00CA329C">
        <w:rPr>
          <w:rFonts w:ascii="Bookman Old Style" w:eastAsia="Arial" w:hAnsi="Bookman Old Style" w:cs="Arial"/>
          <w:b/>
          <w:bCs/>
          <w:color w:val="000000" w:themeColor="text1"/>
        </w:rPr>
        <w:t>la capacidad instalada actual del GIT para la Vigilancia y Control Fiscal de los Recursos del Sistema General de Regalías, permite atender un máximo de 350 solicitudes ciudadanas anuales,</w:t>
      </w:r>
      <w:r w:rsidRPr="00CA329C">
        <w:rPr>
          <w:rFonts w:ascii="Bookman Old Style" w:eastAsia="Arial" w:hAnsi="Bookman Old Style" w:cs="Arial"/>
          <w:color w:val="000000" w:themeColor="text1"/>
        </w:rPr>
        <w:t xml:space="preserve"> pero el ingreso de las mismas de manera semanal ha superado este límite y por ello quedan rezagos de vigencias anteriores para su atención anual.</w:t>
      </w:r>
    </w:p>
    <w:p w14:paraId="0A317B80" w14:textId="77777777" w:rsidR="003A77A8" w:rsidRPr="00CA329C" w:rsidRDefault="003A77A8" w:rsidP="003A77A8">
      <w:pPr>
        <w:jc w:val="both"/>
        <w:rPr>
          <w:rFonts w:ascii="Bookman Old Style" w:eastAsia="Arial" w:hAnsi="Bookman Old Style" w:cs="Arial"/>
          <w:color w:val="000000" w:themeColor="text1"/>
        </w:rPr>
      </w:pPr>
    </w:p>
    <w:p w14:paraId="275B9300" w14:textId="365693E6" w:rsidR="003A77A8" w:rsidRPr="00CA329C" w:rsidRDefault="002C3F53" w:rsidP="003A77A8">
      <w:pPr>
        <w:jc w:val="both"/>
        <w:textAlignment w:val="baseline"/>
        <w:rPr>
          <w:rFonts w:ascii="Bookman Old Style" w:hAnsi="Bookman Old Style" w:cs="Segoe UI"/>
          <w:lang w:eastAsia="es-CO"/>
        </w:rPr>
      </w:pPr>
      <w:r w:rsidRPr="00CA329C">
        <w:rPr>
          <w:rFonts w:ascii="Bookman Old Style" w:hAnsi="Bookman Old Style" w:cs="Segoe UI"/>
          <w:lang w:eastAsia="es-CO"/>
        </w:rPr>
        <w:t>Así mismo</w:t>
      </w:r>
      <w:r w:rsidR="003A77A8" w:rsidRPr="00CA329C">
        <w:rPr>
          <w:rFonts w:ascii="Bookman Old Style" w:hAnsi="Bookman Old Style" w:cs="Segoe UI"/>
          <w:lang w:eastAsia="es-CO"/>
        </w:rPr>
        <w:t xml:space="preserve">, el Grupo Interno de Trabajo de Responsabilidad Fiscal de los Recursos del Sistema General de Regalías, actualmente tiene en trámite </w:t>
      </w:r>
      <w:r w:rsidR="003A77A8" w:rsidRPr="00CA329C">
        <w:rPr>
          <w:rFonts w:ascii="Bookman Old Style" w:hAnsi="Bookman Old Style" w:cs="Segoe UI"/>
          <w:b/>
          <w:bCs/>
          <w:lang w:eastAsia="es-CO"/>
        </w:rPr>
        <w:t xml:space="preserve">804 </w:t>
      </w:r>
      <w:r w:rsidR="003A77A8" w:rsidRPr="00CA329C">
        <w:rPr>
          <w:rFonts w:ascii="Bookman Old Style" w:hAnsi="Bookman Old Style" w:cs="Segoe UI"/>
          <w:b/>
          <w:bCs/>
          <w:lang w:eastAsia="es-CO"/>
        </w:rPr>
        <w:lastRenderedPageBreak/>
        <w:t>Procesos Ordinarios por cuantía $1.92 billones</w:t>
      </w:r>
      <w:r w:rsidR="003A77A8" w:rsidRPr="00CA329C">
        <w:rPr>
          <w:rFonts w:ascii="Bookman Old Style" w:hAnsi="Bookman Old Style" w:cs="Segoe UI"/>
          <w:lang w:eastAsia="es-CO"/>
        </w:rPr>
        <w:t>, donde 248 se encuentran en el nivel central por una cuantía de $1.62 billones; y 556 en el nivel desconcentrado por una cuantía de $295.496.128.390. </w:t>
      </w:r>
    </w:p>
    <w:p w14:paraId="3C79D30D" w14:textId="77777777" w:rsidR="007F3E73" w:rsidRPr="00CA329C" w:rsidRDefault="007F3E73" w:rsidP="002370AE">
      <w:pPr>
        <w:rPr>
          <w:rFonts w:ascii="Bookman Old Style" w:eastAsia="Arial" w:hAnsi="Bookman Old Style" w:cs="Arial"/>
          <w:color w:val="000000" w:themeColor="text1"/>
        </w:rPr>
      </w:pPr>
    </w:p>
    <w:p w14:paraId="2CEC5250" w14:textId="59DF0511" w:rsidR="002C3F53" w:rsidRPr="00CA329C" w:rsidRDefault="002C3F53" w:rsidP="002C3F53">
      <w:pPr>
        <w:jc w:val="both"/>
        <w:rPr>
          <w:rFonts w:ascii="Bookman Old Style" w:eastAsia="Arial" w:hAnsi="Bookman Old Style" w:cs="Arial"/>
          <w:color w:val="000000" w:themeColor="text1"/>
        </w:rPr>
      </w:pPr>
      <w:r w:rsidRPr="00CA329C">
        <w:rPr>
          <w:rFonts w:ascii="Bookman Old Style" w:eastAsia="Arial" w:hAnsi="Bookman Old Style" w:cs="Arial"/>
          <w:color w:val="000000" w:themeColor="text1"/>
        </w:rPr>
        <w:t xml:space="preserve">Corolario a todo lo anterior, y entendiendo el alto flujo como las necesidades que requiere el Sistema General de Regalías para mantener un control fiscal eficaz, eficiente y efectivo, se hace menester </w:t>
      </w:r>
      <w:r w:rsidR="00972AB4" w:rsidRPr="00CA329C">
        <w:rPr>
          <w:rFonts w:ascii="Bookman Old Style" w:eastAsia="Arial" w:hAnsi="Bookman Old Style" w:cs="Arial"/>
          <w:color w:val="000000" w:themeColor="text1"/>
        </w:rPr>
        <w:t xml:space="preserve">prorrogar la planta global de duración temporal de la Contraloría General de la República para la vigilancia y control fiscal de los recursos del Sistema General de Regalías, con el objetivo de que pueda llevar a cabo sus funciones sin que estas se vean interrumpidas. </w:t>
      </w:r>
    </w:p>
    <w:p w14:paraId="2F82F2D4" w14:textId="5F556C2E" w:rsidR="00727AD9" w:rsidRDefault="00727AD9" w:rsidP="002C3F53">
      <w:pPr>
        <w:jc w:val="both"/>
        <w:rPr>
          <w:rFonts w:ascii="Bookman Old Style" w:eastAsia="Arial" w:hAnsi="Bookman Old Style" w:cs="Arial"/>
          <w:color w:val="000000" w:themeColor="text1"/>
        </w:rPr>
      </w:pPr>
    </w:p>
    <w:p w14:paraId="6B241659" w14:textId="77777777" w:rsidR="00BE1E89" w:rsidRPr="00CA329C" w:rsidRDefault="00BE1E89" w:rsidP="002C3F53">
      <w:pPr>
        <w:jc w:val="both"/>
        <w:rPr>
          <w:rFonts w:ascii="Bookman Old Style" w:eastAsia="Arial" w:hAnsi="Bookman Old Style" w:cs="Arial"/>
          <w:color w:val="000000" w:themeColor="text1"/>
        </w:rPr>
      </w:pPr>
    </w:p>
    <w:p w14:paraId="5437441F" w14:textId="77777777" w:rsidR="000B71BE" w:rsidRPr="00CA329C" w:rsidRDefault="000B71BE" w:rsidP="000B71BE">
      <w:pPr>
        <w:rPr>
          <w:rFonts w:ascii="Bookman Old Style" w:hAnsi="Bookman Old Style"/>
          <w:b/>
          <w:bCs/>
        </w:rPr>
      </w:pPr>
      <w:bookmarkStart w:id="8" w:name="_Toc175635384"/>
      <w:r w:rsidRPr="00CA329C">
        <w:rPr>
          <w:rFonts w:ascii="Bookman Old Style" w:hAnsi="Bookman Old Style"/>
          <w:b/>
          <w:bCs/>
        </w:rPr>
        <w:t>6. Impacto Fiscal</w:t>
      </w:r>
      <w:bookmarkEnd w:id="8"/>
    </w:p>
    <w:p w14:paraId="673D4DEC" w14:textId="77777777" w:rsidR="000B71BE" w:rsidRPr="00CA329C" w:rsidRDefault="000B71BE" w:rsidP="000B71BE">
      <w:pPr>
        <w:rPr>
          <w:rFonts w:ascii="Bookman Old Style" w:hAnsi="Bookman Old Style"/>
          <w:lang w:val="es-ES"/>
        </w:rPr>
      </w:pPr>
    </w:p>
    <w:p w14:paraId="35E34FD2" w14:textId="77777777" w:rsidR="000B71BE" w:rsidRPr="00CA329C" w:rsidRDefault="000B71BE" w:rsidP="000B71BE">
      <w:pPr>
        <w:rPr>
          <w:rFonts w:ascii="Bookman Old Style" w:hAnsi="Bookman Old Style"/>
          <w:lang w:val="es-ES"/>
        </w:rPr>
      </w:pPr>
      <w:r w:rsidRPr="00CA329C">
        <w:rPr>
          <w:rFonts w:ascii="Bookman Old Style" w:hAnsi="Bookman Old Style"/>
          <w:lang w:val="es-ES"/>
        </w:rPr>
        <w:t xml:space="preserve">El artículo 7 de la </w:t>
      </w:r>
      <w:bookmarkStart w:id="9" w:name="_Hlk174540352"/>
      <w:r w:rsidRPr="00CA329C">
        <w:rPr>
          <w:rFonts w:ascii="Bookman Old Style" w:hAnsi="Bookman Old Style"/>
          <w:lang w:val="es-ES"/>
        </w:rPr>
        <w:t>Ley 819 de 2003</w:t>
      </w:r>
      <w:bookmarkEnd w:id="9"/>
      <w:r w:rsidRPr="00CA329C">
        <w:rPr>
          <w:rFonts w:ascii="Bookman Old Style" w:hAnsi="Bookman Old Style"/>
          <w:lang w:val="es-ES"/>
        </w:rPr>
        <w:t>, contempla lo siguiente:</w:t>
      </w:r>
    </w:p>
    <w:p w14:paraId="6C79F325" w14:textId="77777777" w:rsidR="000B71BE" w:rsidRPr="00CA329C" w:rsidRDefault="000B71BE" w:rsidP="000B71BE">
      <w:pPr>
        <w:rPr>
          <w:rFonts w:ascii="Bookman Old Style" w:hAnsi="Bookman Old Style"/>
          <w:lang w:val="es-ES"/>
        </w:rPr>
      </w:pPr>
    </w:p>
    <w:p w14:paraId="1D71B3B3" w14:textId="77777777" w:rsidR="000B71BE" w:rsidRPr="00CA329C" w:rsidRDefault="000B71BE" w:rsidP="00EF73D0">
      <w:pPr>
        <w:ind w:left="567" w:right="49"/>
        <w:jc w:val="both"/>
        <w:rPr>
          <w:rFonts w:ascii="Bookman Old Style" w:hAnsi="Bookman Old Style"/>
          <w:sz w:val="20"/>
          <w:szCs w:val="20"/>
          <w:lang w:val="es-ES"/>
        </w:rPr>
      </w:pPr>
      <w:r w:rsidRPr="00CA329C">
        <w:rPr>
          <w:rFonts w:ascii="Bookman Old Style" w:hAnsi="Bookman Old Style"/>
          <w:sz w:val="20"/>
          <w:szCs w:val="20"/>
          <w:lang w:val="es-ES"/>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2E07AB2D" w14:textId="77777777" w:rsidR="000B71BE" w:rsidRPr="00CA329C" w:rsidRDefault="000B71BE" w:rsidP="00EF73D0">
      <w:pPr>
        <w:ind w:left="567" w:right="49"/>
        <w:jc w:val="both"/>
        <w:rPr>
          <w:rFonts w:ascii="Bookman Old Style" w:hAnsi="Bookman Old Style"/>
          <w:sz w:val="20"/>
          <w:szCs w:val="20"/>
          <w:lang w:val="es-ES"/>
        </w:rPr>
      </w:pPr>
    </w:p>
    <w:p w14:paraId="773EAC52" w14:textId="77777777" w:rsidR="000B71BE" w:rsidRPr="00CA329C" w:rsidRDefault="000B71BE" w:rsidP="00EF73D0">
      <w:pPr>
        <w:ind w:left="567" w:right="49"/>
        <w:jc w:val="both"/>
        <w:rPr>
          <w:rFonts w:ascii="Bookman Old Style" w:hAnsi="Bookman Old Style"/>
          <w:sz w:val="20"/>
          <w:szCs w:val="20"/>
          <w:lang w:val="es-ES"/>
        </w:rPr>
      </w:pPr>
      <w:r w:rsidRPr="00CA329C">
        <w:rPr>
          <w:rFonts w:ascii="Bookman Old Style" w:hAnsi="Bookman Old Style"/>
          <w:sz w:val="20"/>
          <w:szCs w:val="20"/>
          <w:lang w:val="es-ES"/>
        </w:rPr>
        <w:t xml:space="preserve">Para estos propósitos, </w:t>
      </w:r>
      <w:r w:rsidRPr="00CA329C">
        <w:rPr>
          <w:rFonts w:ascii="Bookman Old Style" w:hAnsi="Bookman Old Style"/>
          <w:b/>
          <w:bCs/>
          <w:sz w:val="20"/>
          <w:szCs w:val="20"/>
          <w:lang w:val="es-ES"/>
        </w:rPr>
        <w:t>deberá incluirse expresamente en la exposición de motivos y en las ponencias de trámite respectivas los costos fiscales de la iniciativa y la fuente de ingreso adicional generada para el financiamiento de dicho costo.</w:t>
      </w:r>
    </w:p>
    <w:p w14:paraId="3A65B0DD" w14:textId="77777777" w:rsidR="000B71BE" w:rsidRPr="00CA329C" w:rsidRDefault="000B71BE" w:rsidP="00EF73D0">
      <w:pPr>
        <w:ind w:left="567" w:right="49"/>
        <w:jc w:val="both"/>
        <w:rPr>
          <w:rFonts w:ascii="Bookman Old Style" w:hAnsi="Bookman Old Style"/>
          <w:sz w:val="20"/>
          <w:szCs w:val="20"/>
          <w:lang w:val="es-ES"/>
        </w:rPr>
      </w:pPr>
    </w:p>
    <w:p w14:paraId="6A3ED77D" w14:textId="77777777" w:rsidR="000B71BE" w:rsidRPr="00CA329C" w:rsidRDefault="000B71BE" w:rsidP="00EF73D0">
      <w:pPr>
        <w:ind w:left="567" w:right="49"/>
        <w:jc w:val="both"/>
        <w:rPr>
          <w:rFonts w:ascii="Bookman Old Style" w:hAnsi="Bookman Old Style"/>
          <w:sz w:val="20"/>
          <w:szCs w:val="20"/>
          <w:lang w:val="es-ES"/>
        </w:rPr>
      </w:pPr>
      <w:r w:rsidRPr="00CA329C">
        <w:rPr>
          <w:rFonts w:ascii="Bookman Old Style" w:hAnsi="Bookman Old Style"/>
          <w:sz w:val="20"/>
          <w:szCs w:val="20"/>
          <w:lang w:val="es-ES"/>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07DDC203" w14:textId="77777777" w:rsidR="000B71BE" w:rsidRPr="00CA329C" w:rsidRDefault="000B71BE" w:rsidP="00EF73D0">
      <w:pPr>
        <w:ind w:left="567" w:right="49"/>
        <w:jc w:val="both"/>
        <w:rPr>
          <w:rFonts w:ascii="Bookman Old Style" w:hAnsi="Bookman Old Style"/>
          <w:sz w:val="20"/>
          <w:szCs w:val="20"/>
          <w:lang w:val="es-ES"/>
        </w:rPr>
      </w:pPr>
    </w:p>
    <w:p w14:paraId="61689A45" w14:textId="77777777" w:rsidR="000B71BE" w:rsidRPr="00CA329C" w:rsidRDefault="000B71BE" w:rsidP="00EF73D0">
      <w:pPr>
        <w:ind w:left="567" w:right="49"/>
        <w:jc w:val="both"/>
        <w:rPr>
          <w:rFonts w:ascii="Bookman Old Style" w:hAnsi="Bookman Old Style"/>
          <w:sz w:val="20"/>
          <w:szCs w:val="20"/>
          <w:lang w:val="es-ES"/>
        </w:rPr>
      </w:pPr>
      <w:r w:rsidRPr="00CA329C">
        <w:rPr>
          <w:rFonts w:ascii="Bookman Old Style" w:hAnsi="Bookman Old Style"/>
          <w:sz w:val="20"/>
          <w:szCs w:val="20"/>
          <w:lang w:val="es-ES"/>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04F33737" w14:textId="77777777" w:rsidR="000B71BE" w:rsidRPr="00CA329C" w:rsidRDefault="000B71BE" w:rsidP="00EF73D0">
      <w:pPr>
        <w:ind w:left="567" w:right="49"/>
        <w:jc w:val="both"/>
        <w:rPr>
          <w:rFonts w:ascii="Bookman Old Style" w:hAnsi="Bookman Old Style"/>
          <w:sz w:val="20"/>
          <w:szCs w:val="20"/>
          <w:lang w:val="es-ES"/>
        </w:rPr>
      </w:pPr>
    </w:p>
    <w:p w14:paraId="0199ECE9" w14:textId="77777777" w:rsidR="000B71BE" w:rsidRPr="00CA329C" w:rsidRDefault="000B71BE" w:rsidP="00EF73D0">
      <w:pPr>
        <w:ind w:left="567" w:right="49"/>
        <w:jc w:val="both"/>
        <w:rPr>
          <w:rFonts w:ascii="Bookman Old Style" w:hAnsi="Bookman Old Style"/>
          <w:sz w:val="20"/>
          <w:szCs w:val="20"/>
          <w:lang w:val="es-ES"/>
        </w:rPr>
      </w:pPr>
      <w:r w:rsidRPr="00CA329C">
        <w:rPr>
          <w:rFonts w:ascii="Bookman Old Style" w:hAnsi="Bookman Old Style"/>
          <w:sz w:val="20"/>
          <w:szCs w:val="20"/>
          <w:lang w:val="es-ES"/>
        </w:rPr>
        <w:t xml:space="preserve">En las entidades territoriales, el trámite previsto en el inciso anterior será surtido ante la respectiva Secretaría de Hacienda o quien haga sus veces.” (Negrillas fuera de texto). </w:t>
      </w:r>
    </w:p>
    <w:p w14:paraId="09225567" w14:textId="77777777" w:rsidR="000B71BE" w:rsidRPr="00CA329C" w:rsidRDefault="000B71BE" w:rsidP="000B71BE">
      <w:pPr>
        <w:jc w:val="both"/>
        <w:rPr>
          <w:rFonts w:ascii="Bookman Old Style" w:hAnsi="Bookman Old Style"/>
          <w:lang w:val="es-ES"/>
        </w:rPr>
      </w:pPr>
    </w:p>
    <w:p w14:paraId="05331116" w14:textId="77777777" w:rsidR="000B71BE" w:rsidRPr="00CA329C" w:rsidRDefault="000B71BE" w:rsidP="000B71BE">
      <w:pPr>
        <w:jc w:val="both"/>
        <w:rPr>
          <w:rFonts w:ascii="Bookman Old Style" w:hAnsi="Bookman Old Style"/>
          <w:lang w:val="es-ES"/>
        </w:rPr>
      </w:pPr>
      <w:r w:rsidRPr="00CA329C">
        <w:rPr>
          <w:rFonts w:ascii="Bookman Old Style" w:hAnsi="Bookman Old Style"/>
          <w:lang w:val="es-ES"/>
        </w:rPr>
        <w:t>Al respecto, es importante señalar que como se indicó anteriormente, los recursos con los que se financiaría la planta temporal de regalías de la CGR se encuentran contemplados para tan finalidad en el artículo 361 de la Constitución Política, modificado por el Acto Legislativo 05 de 2019 y en los artículos 22 y 183 de la Ley 2056 de 2020. De conformidad con las normas citadas en la exposición de motivos del presente proyecto de ley, por lo que no representan erogación adicional más allá de la contemplada a rango Constitucional y legal.</w:t>
      </w:r>
    </w:p>
    <w:p w14:paraId="20F45064" w14:textId="77777777" w:rsidR="00842BF9" w:rsidRPr="00CA329C" w:rsidRDefault="00842BF9" w:rsidP="002C3F53">
      <w:pPr>
        <w:jc w:val="both"/>
        <w:rPr>
          <w:rFonts w:ascii="Bookman Old Style" w:eastAsia="Arial" w:hAnsi="Bookman Old Style" w:cs="Arial"/>
          <w:color w:val="000000" w:themeColor="text1"/>
        </w:rPr>
      </w:pPr>
    </w:p>
    <w:p w14:paraId="47BFB594" w14:textId="760C2DFA" w:rsidR="000B71BE" w:rsidRPr="00CA329C" w:rsidRDefault="00727AD9" w:rsidP="002C3F53">
      <w:pPr>
        <w:jc w:val="both"/>
        <w:rPr>
          <w:rFonts w:ascii="Bookman Old Style" w:eastAsia="Arial" w:hAnsi="Bookman Old Style" w:cs="Arial"/>
          <w:b/>
          <w:bCs/>
          <w:color w:val="000000" w:themeColor="text1"/>
        </w:rPr>
      </w:pPr>
      <w:r w:rsidRPr="00CA329C">
        <w:rPr>
          <w:rFonts w:ascii="Bookman Old Style" w:eastAsia="Arial" w:hAnsi="Bookman Old Style" w:cs="Arial"/>
          <w:b/>
          <w:bCs/>
          <w:color w:val="000000" w:themeColor="text1"/>
        </w:rPr>
        <w:t>7</w:t>
      </w:r>
      <w:r w:rsidR="000B71BE" w:rsidRPr="00CA329C">
        <w:rPr>
          <w:rFonts w:ascii="Bookman Old Style" w:eastAsia="Arial" w:hAnsi="Bookman Old Style" w:cs="Arial"/>
          <w:b/>
          <w:bCs/>
          <w:color w:val="000000" w:themeColor="text1"/>
        </w:rPr>
        <w:t xml:space="preserve">. </w:t>
      </w:r>
      <w:r w:rsidRPr="00CA329C">
        <w:rPr>
          <w:rFonts w:ascii="Bookman Old Style" w:eastAsia="Arial" w:hAnsi="Bookman Old Style" w:cs="Arial"/>
          <w:b/>
          <w:bCs/>
          <w:color w:val="000000" w:themeColor="text1"/>
        </w:rPr>
        <w:t>Posibles Conflictos de Intereses</w:t>
      </w:r>
    </w:p>
    <w:p w14:paraId="577C566E" w14:textId="77777777" w:rsidR="007F3E73" w:rsidRPr="00CA329C" w:rsidRDefault="007F3E73" w:rsidP="002370AE">
      <w:pPr>
        <w:rPr>
          <w:rFonts w:ascii="Bookman Old Style" w:eastAsia="Arial" w:hAnsi="Bookman Old Style" w:cs="Arial"/>
          <w:color w:val="000000" w:themeColor="text1"/>
          <w:lang w:val="es-ES"/>
        </w:rPr>
      </w:pPr>
    </w:p>
    <w:p w14:paraId="17FAA6F3" w14:textId="67E217D6" w:rsidR="00727AD9" w:rsidRPr="00CA329C" w:rsidRDefault="00727AD9" w:rsidP="00727AD9">
      <w:pPr>
        <w:jc w:val="both"/>
        <w:rPr>
          <w:rFonts w:ascii="Bookman Old Style" w:eastAsia="Arial" w:hAnsi="Bookman Old Style" w:cs="Arial"/>
          <w:color w:val="000000" w:themeColor="text1"/>
          <w:lang w:val="es-ES"/>
        </w:rPr>
      </w:pPr>
      <w:r w:rsidRPr="00CA329C">
        <w:rPr>
          <w:rFonts w:ascii="Bookman Old Style" w:eastAsia="Arial" w:hAnsi="Bookman Old Style" w:cs="Arial"/>
          <w:color w:val="000000" w:themeColor="text1"/>
          <w:lang w:val="es-ES"/>
        </w:rPr>
        <w:t>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14:paraId="35210B57" w14:textId="77777777" w:rsidR="00727AD9" w:rsidRPr="00CA329C" w:rsidRDefault="00727AD9" w:rsidP="00727AD9">
      <w:pPr>
        <w:jc w:val="both"/>
        <w:rPr>
          <w:rFonts w:ascii="Bookman Old Style" w:eastAsia="Arial" w:hAnsi="Bookman Old Style" w:cs="Arial"/>
          <w:color w:val="000000" w:themeColor="text1"/>
          <w:lang w:val="es-ES"/>
        </w:rPr>
      </w:pPr>
    </w:p>
    <w:p w14:paraId="05E3798B" w14:textId="78E06505" w:rsidR="00727AD9" w:rsidRPr="00CA329C" w:rsidRDefault="00727AD9" w:rsidP="00727AD9">
      <w:pPr>
        <w:jc w:val="both"/>
        <w:rPr>
          <w:rFonts w:ascii="Bookman Old Style" w:eastAsia="Arial" w:hAnsi="Bookman Old Style" w:cs="Arial"/>
          <w:color w:val="000000" w:themeColor="text1"/>
          <w:lang w:val="es-ES"/>
        </w:rPr>
      </w:pPr>
      <w:r w:rsidRPr="00CA329C">
        <w:rPr>
          <w:rFonts w:ascii="Bookman Old Style" w:eastAsia="Arial" w:hAnsi="Bookman Old Style" w:cs="Arial"/>
          <w:color w:val="000000" w:themeColor="text1"/>
          <w:lang w:val="es-ES"/>
        </w:rPr>
        <w:t>Por lo anterior, lo aquí́ advertido no exonera a cada uno de los congresistas de examinar minuciosamente posibles conflictos de inter</w:t>
      </w:r>
      <w:r w:rsidRPr="00CA329C">
        <w:rPr>
          <w:rFonts w:ascii="Bookman Old Style" w:eastAsia="Arial" w:hAnsi="Bookman Old Style" w:cs="Bookman Old Style"/>
          <w:color w:val="000000" w:themeColor="text1"/>
          <w:lang w:val="es-ES"/>
        </w:rPr>
        <w:t>é</w:t>
      </w:r>
      <w:r w:rsidRPr="00CA329C">
        <w:rPr>
          <w:rFonts w:ascii="Bookman Old Style" w:eastAsia="Arial" w:hAnsi="Bookman Old Style" w:cs="Arial"/>
          <w:color w:val="000000" w:themeColor="text1"/>
          <w:lang w:val="es-ES"/>
        </w:rPr>
        <w:t>s para conocer y votar este proyecto, y en caso de existir algún conflicto, su responsabilidad de manifestarlo al Congreso de la República, durante el trámite de este.</w:t>
      </w:r>
    </w:p>
    <w:p w14:paraId="67B95CFC" w14:textId="77777777" w:rsidR="00727AD9" w:rsidRPr="00CA329C" w:rsidRDefault="00727AD9" w:rsidP="00727AD9">
      <w:pPr>
        <w:jc w:val="both"/>
        <w:rPr>
          <w:rFonts w:ascii="Bookman Old Style" w:eastAsia="Arial" w:hAnsi="Bookman Old Style" w:cs="Arial"/>
          <w:color w:val="000000" w:themeColor="text1"/>
          <w:lang w:val="es-ES"/>
        </w:rPr>
      </w:pPr>
    </w:p>
    <w:p w14:paraId="32465010" w14:textId="77777777" w:rsidR="000B71BE" w:rsidRPr="00CA329C" w:rsidRDefault="000B71BE" w:rsidP="002370AE">
      <w:pPr>
        <w:rPr>
          <w:rFonts w:ascii="Bookman Old Style" w:eastAsia="Arial" w:hAnsi="Bookman Old Style" w:cs="Arial"/>
          <w:color w:val="000000" w:themeColor="text1"/>
          <w:lang w:val="es-ES"/>
        </w:rPr>
      </w:pPr>
    </w:p>
    <w:p w14:paraId="6AFB2A15" w14:textId="664FA454" w:rsidR="00423467" w:rsidRPr="00CA329C" w:rsidRDefault="00982336" w:rsidP="002370AE">
      <w:pPr>
        <w:rPr>
          <w:rFonts w:ascii="Bookman Old Style" w:eastAsia="Arial" w:hAnsi="Bookman Old Style" w:cs="Arial"/>
          <w:b/>
          <w:bCs/>
          <w:color w:val="000000" w:themeColor="text1"/>
          <w:lang w:val="es-ES"/>
        </w:rPr>
      </w:pPr>
      <w:r w:rsidRPr="00CA329C">
        <w:rPr>
          <w:rFonts w:ascii="Bookman Old Style" w:eastAsia="Arial" w:hAnsi="Bookman Old Style" w:cs="Arial"/>
          <w:b/>
          <w:bCs/>
          <w:color w:val="000000" w:themeColor="text1"/>
          <w:lang w:val="es-ES"/>
        </w:rPr>
        <w:t>8</w:t>
      </w:r>
      <w:r w:rsidR="00423467" w:rsidRPr="00CA329C">
        <w:rPr>
          <w:rFonts w:ascii="Bookman Old Style" w:eastAsia="Arial" w:hAnsi="Bookman Old Style" w:cs="Arial"/>
          <w:b/>
          <w:bCs/>
          <w:color w:val="000000" w:themeColor="text1"/>
          <w:lang w:val="es-ES"/>
        </w:rPr>
        <w:t>. Proposición</w:t>
      </w:r>
    </w:p>
    <w:p w14:paraId="70B970DC" w14:textId="77777777" w:rsidR="00423467" w:rsidRPr="00CA329C" w:rsidRDefault="00423467" w:rsidP="002370AE">
      <w:pPr>
        <w:rPr>
          <w:rFonts w:ascii="Bookman Old Style" w:eastAsia="Arial" w:hAnsi="Bookman Old Style" w:cs="Arial"/>
          <w:b/>
          <w:bCs/>
          <w:color w:val="000000" w:themeColor="text1"/>
          <w:lang w:val="es-ES"/>
        </w:rPr>
      </w:pPr>
    </w:p>
    <w:p w14:paraId="47A11C94" w14:textId="584569BE" w:rsidR="00423467" w:rsidRPr="00CA329C" w:rsidRDefault="00423467" w:rsidP="00727AD9">
      <w:pPr>
        <w:ind w:right="49"/>
        <w:jc w:val="both"/>
        <w:rPr>
          <w:rFonts w:ascii="Bookman Old Style" w:hAnsi="Bookman Old Style" w:cstheme="minorHAnsi"/>
        </w:rPr>
      </w:pPr>
      <w:r w:rsidRPr="00CA329C">
        <w:rPr>
          <w:rFonts w:ascii="Bookman Old Style" w:eastAsia="Arial" w:hAnsi="Bookman Old Style" w:cs="Arial"/>
          <w:color w:val="000000" w:themeColor="text1"/>
          <w:lang w:val="es-ES"/>
        </w:rPr>
        <w:t xml:space="preserve">En consideración a las razones aquí expuestas, propongo de manera respetuosa a los Honorables </w:t>
      </w:r>
      <w:r w:rsidR="00727AD9" w:rsidRPr="00CA329C">
        <w:rPr>
          <w:rFonts w:ascii="Bookman Old Style" w:eastAsia="Arial" w:hAnsi="Bookman Old Style" w:cs="Arial"/>
          <w:color w:val="000000" w:themeColor="text1"/>
          <w:lang w:val="es-ES"/>
        </w:rPr>
        <w:t xml:space="preserve">Representantes de la Comisión Primera de la Cámara de Representantes </w:t>
      </w:r>
      <w:r w:rsidRPr="00CA329C">
        <w:rPr>
          <w:rFonts w:ascii="Bookman Old Style" w:eastAsia="Arial" w:hAnsi="Bookman Old Style" w:cs="Arial"/>
          <w:color w:val="000000" w:themeColor="text1"/>
          <w:lang w:val="es-ES"/>
        </w:rPr>
        <w:t>dar primer debate</w:t>
      </w:r>
      <w:r w:rsidR="00727AD9" w:rsidRPr="00CA329C">
        <w:rPr>
          <w:rFonts w:ascii="Bookman Old Style" w:eastAsia="Arial" w:hAnsi="Bookman Old Style" w:cs="Arial"/>
          <w:color w:val="000000" w:themeColor="text1"/>
          <w:lang w:val="es-ES"/>
        </w:rPr>
        <w:t xml:space="preserve"> </w:t>
      </w:r>
      <w:r w:rsidRPr="00CA329C">
        <w:rPr>
          <w:rFonts w:ascii="Bookman Old Style" w:eastAsia="Arial" w:hAnsi="Bookman Old Style" w:cs="Arial"/>
          <w:color w:val="000000" w:themeColor="text1"/>
          <w:lang w:val="es-ES"/>
        </w:rPr>
        <w:t xml:space="preserve">al </w:t>
      </w:r>
      <w:r w:rsidRPr="00CA329C">
        <w:rPr>
          <w:rFonts w:ascii="Bookman Old Style" w:hAnsi="Bookman Old Style"/>
        </w:rPr>
        <w:t xml:space="preserve">Proyecto de Ley </w:t>
      </w:r>
      <w:proofErr w:type="spellStart"/>
      <w:r w:rsidRPr="00CA329C">
        <w:rPr>
          <w:rFonts w:ascii="Bookman Old Style" w:hAnsi="Bookman Old Style"/>
        </w:rPr>
        <w:t>Nº</w:t>
      </w:r>
      <w:proofErr w:type="spellEnd"/>
      <w:r w:rsidR="00727AD9" w:rsidRPr="00CA329C">
        <w:rPr>
          <w:rFonts w:ascii="Bookman Old Style" w:hAnsi="Bookman Old Style"/>
        </w:rPr>
        <w:t xml:space="preserve"> 425 de 2024 Cámara</w:t>
      </w:r>
      <w:r w:rsidRPr="00CA329C">
        <w:rPr>
          <w:rFonts w:ascii="Bookman Old Style" w:hAnsi="Bookman Old Style"/>
        </w:rPr>
        <w:t xml:space="preserve"> </w:t>
      </w:r>
      <w:r w:rsidR="00727AD9" w:rsidRPr="00CA329C">
        <w:rPr>
          <w:rFonts w:ascii="Bookman Old Style" w:hAnsi="Bookman Old Style"/>
        </w:rPr>
        <w:t xml:space="preserve">- </w:t>
      </w:r>
      <w:r w:rsidRPr="00CA329C">
        <w:rPr>
          <w:rFonts w:ascii="Bookman Old Style" w:hAnsi="Bookman Old Style"/>
        </w:rPr>
        <w:t xml:space="preserve">213 de 2024 Senado </w:t>
      </w:r>
      <w:r w:rsidRPr="00CA329C">
        <w:rPr>
          <w:rFonts w:ascii="Bookman Old Style" w:hAnsi="Bookman Old Style" w:cstheme="minorHAnsi"/>
        </w:rPr>
        <w:t>“</w:t>
      </w:r>
      <w:r w:rsidRPr="00CA329C">
        <w:rPr>
          <w:rFonts w:ascii="Bookman Old Style" w:eastAsia="Times New Roman" w:hAnsi="Bookman Old Style" w:cs="Arial"/>
          <w:bCs/>
        </w:rPr>
        <w:t>Por el cual se establecen disposiciones para dar continuidad a la función pública de control fiscal al Sistema General de Regalías en el bienio 2025-2026</w:t>
      </w:r>
      <w:r w:rsidRPr="00CA329C">
        <w:rPr>
          <w:rFonts w:ascii="Bookman Old Style" w:hAnsi="Bookman Old Style"/>
        </w:rPr>
        <w:t>”</w:t>
      </w:r>
      <w:r w:rsidR="00EC3203" w:rsidRPr="00CA329C">
        <w:rPr>
          <w:rFonts w:ascii="Bookman Old Style" w:hAnsi="Bookman Old Style" w:cstheme="minorHAnsi"/>
        </w:rPr>
        <w:t xml:space="preserve">, en los términos del texto </w:t>
      </w:r>
      <w:r w:rsidR="00982336" w:rsidRPr="00CA329C">
        <w:rPr>
          <w:rFonts w:ascii="Bookman Old Style" w:hAnsi="Bookman Old Style" w:cstheme="minorHAnsi"/>
        </w:rPr>
        <w:t>aprobado en la Plenaria del Senado de la República y propuesto para primer debate en Cámara de Representantes</w:t>
      </w:r>
    </w:p>
    <w:p w14:paraId="41355A8B" w14:textId="77777777" w:rsidR="000B71BE" w:rsidRPr="00CA329C" w:rsidRDefault="000B71BE" w:rsidP="002370AE">
      <w:pPr>
        <w:rPr>
          <w:rFonts w:ascii="Bookman Old Style" w:eastAsia="Arial" w:hAnsi="Bookman Old Style" w:cs="Arial"/>
          <w:color w:val="000000" w:themeColor="text1"/>
        </w:rPr>
      </w:pPr>
    </w:p>
    <w:p w14:paraId="76BA7E0F" w14:textId="77777777" w:rsidR="00982336" w:rsidRPr="00CA329C" w:rsidRDefault="00982336" w:rsidP="002370AE">
      <w:pPr>
        <w:rPr>
          <w:rFonts w:ascii="Bookman Old Style" w:eastAsia="Arial" w:hAnsi="Bookman Old Style" w:cs="Arial"/>
          <w:color w:val="000000" w:themeColor="text1"/>
        </w:rPr>
      </w:pPr>
    </w:p>
    <w:p w14:paraId="03EDB359" w14:textId="4E7A344D" w:rsidR="007F3E73" w:rsidRPr="00CA329C" w:rsidRDefault="007F3E73" w:rsidP="002370AE">
      <w:pPr>
        <w:rPr>
          <w:rFonts w:ascii="Bookman Old Style" w:eastAsia="Arial" w:hAnsi="Bookman Old Style" w:cs="Arial"/>
          <w:color w:val="000000" w:themeColor="text1"/>
          <w:lang w:val="es-ES"/>
        </w:rPr>
      </w:pPr>
      <w:r w:rsidRPr="00CA329C">
        <w:rPr>
          <w:rFonts w:ascii="Bookman Old Style" w:eastAsia="Arial" w:hAnsi="Bookman Old Style" w:cs="Arial"/>
          <w:color w:val="000000" w:themeColor="text1"/>
          <w:lang w:val="es-ES"/>
        </w:rPr>
        <w:t xml:space="preserve">Atentamente, </w:t>
      </w:r>
    </w:p>
    <w:p w14:paraId="1BD0DC24" w14:textId="77777777" w:rsidR="00972AB4" w:rsidRPr="00CA329C" w:rsidRDefault="00972AB4" w:rsidP="002370AE">
      <w:pPr>
        <w:rPr>
          <w:rFonts w:ascii="Bookman Old Style" w:eastAsia="Arial" w:hAnsi="Bookman Old Style" w:cs="Arial"/>
          <w:color w:val="000000" w:themeColor="text1"/>
          <w:lang w:val="es-ES"/>
        </w:rPr>
      </w:pPr>
    </w:p>
    <w:p w14:paraId="53C563A6" w14:textId="01AA74B7" w:rsidR="0036114C" w:rsidRPr="00CA329C" w:rsidRDefault="0036114C" w:rsidP="002370AE">
      <w:pPr>
        <w:rPr>
          <w:rFonts w:ascii="Bookman Old Style" w:eastAsia="Arial" w:hAnsi="Bookman Old Style" w:cs="Arial"/>
          <w:color w:val="000000" w:themeColor="text1"/>
          <w:lang w:val="es-ES"/>
        </w:rPr>
      </w:pPr>
    </w:p>
    <w:p w14:paraId="58BA02CC" w14:textId="0AC0049C" w:rsidR="0036114C" w:rsidRPr="00CA329C" w:rsidRDefault="0036114C" w:rsidP="002370AE">
      <w:pPr>
        <w:rPr>
          <w:rFonts w:ascii="Bookman Old Style" w:eastAsia="Arial" w:hAnsi="Bookman Old Style" w:cs="Arial"/>
          <w:color w:val="000000" w:themeColor="text1"/>
          <w:lang w:val="es-ES"/>
        </w:rPr>
      </w:pPr>
    </w:p>
    <w:p w14:paraId="72853B4B" w14:textId="79009778" w:rsidR="0036114C" w:rsidRPr="00CA329C" w:rsidRDefault="0036114C" w:rsidP="002370AE">
      <w:pPr>
        <w:rPr>
          <w:rFonts w:ascii="Bookman Old Style" w:eastAsia="Arial" w:hAnsi="Bookman Old Style" w:cs="Arial"/>
          <w:color w:val="000000" w:themeColor="text1"/>
          <w:lang w:val="es-ES"/>
        </w:rPr>
      </w:pPr>
    </w:p>
    <w:p w14:paraId="5B247EDD" w14:textId="627A34EA" w:rsidR="007F3E73" w:rsidRPr="00CA329C" w:rsidRDefault="007F3E73" w:rsidP="002370AE">
      <w:pPr>
        <w:rPr>
          <w:rFonts w:ascii="Bookman Old Style" w:eastAsia="Arial" w:hAnsi="Bookman Old Style" w:cs="Arial"/>
          <w:color w:val="000000" w:themeColor="text1"/>
          <w:lang w:val="es-ES"/>
        </w:rPr>
      </w:pPr>
    </w:p>
    <w:p w14:paraId="34970720" w14:textId="77777777" w:rsidR="00727AD9" w:rsidRPr="00CA329C" w:rsidRDefault="00727AD9" w:rsidP="00727AD9">
      <w:pPr>
        <w:rPr>
          <w:rFonts w:ascii="Bookman Old Style" w:hAnsi="Bookman Old Style"/>
          <w:b/>
          <w:bCs/>
        </w:rPr>
      </w:pPr>
      <w:r w:rsidRPr="00CA329C">
        <w:rPr>
          <w:rFonts w:ascii="Bookman Old Style" w:hAnsi="Bookman Old Style"/>
          <w:b/>
          <w:bCs/>
        </w:rPr>
        <w:t>JORGE ELIÉCER TAMAYO MARULANDA</w:t>
      </w:r>
    </w:p>
    <w:p w14:paraId="20F92860" w14:textId="77777777" w:rsidR="00727AD9" w:rsidRPr="00CA329C" w:rsidRDefault="00727AD9" w:rsidP="00727AD9">
      <w:pPr>
        <w:rPr>
          <w:rFonts w:ascii="Bookman Old Style" w:hAnsi="Bookman Old Style"/>
        </w:rPr>
      </w:pPr>
      <w:r w:rsidRPr="00CA329C">
        <w:rPr>
          <w:rFonts w:ascii="Bookman Old Style" w:hAnsi="Bookman Old Style"/>
        </w:rPr>
        <w:t>Representante a la Cámara</w:t>
      </w:r>
    </w:p>
    <w:p w14:paraId="64F34112" w14:textId="118EA4DF" w:rsidR="003E36C9" w:rsidRPr="00CA329C" w:rsidRDefault="00727AD9" w:rsidP="00727AD9">
      <w:pPr>
        <w:rPr>
          <w:rFonts w:ascii="Bookman Old Style" w:eastAsia="Arial" w:hAnsi="Bookman Old Style" w:cs="Arial"/>
          <w:color w:val="000000" w:themeColor="text1"/>
          <w:lang w:val="es-ES"/>
        </w:rPr>
      </w:pPr>
      <w:r w:rsidRPr="00CA329C">
        <w:rPr>
          <w:rFonts w:ascii="Bookman Old Style" w:hAnsi="Bookman Old Style"/>
        </w:rPr>
        <w:t>Partido de la U</w:t>
      </w:r>
    </w:p>
    <w:p w14:paraId="40ECAB22" w14:textId="77777777" w:rsidR="00972AB4" w:rsidRPr="00CA329C" w:rsidRDefault="00972AB4" w:rsidP="002370AE">
      <w:pPr>
        <w:rPr>
          <w:rFonts w:ascii="Bookman Old Style" w:eastAsia="Arial" w:hAnsi="Bookman Old Style" w:cs="Arial"/>
          <w:color w:val="000000" w:themeColor="text1"/>
          <w:lang w:val="es-ES"/>
        </w:rPr>
      </w:pPr>
    </w:p>
    <w:p w14:paraId="69BDD7DC" w14:textId="77777777" w:rsidR="00E67AA0" w:rsidRPr="00CA329C" w:rsidRDefault="00E67AA0" w:rsidP="002C3F53">
      <w:pPr>
        <w:rPr>
          <w:rFonts w:ascii="Bookman Old Style" w:eastAsia="Arial" w:hAnsi="Bookman Old Style" w:cs="Arial"/>
          <w:color w:val="000000" w:themeColor="text1"/>
        </w:rPr>
      </w:pPr>
    </w:p>
    <w:p w14:paraId="00820007" w14:textId="77777777" w:rsidR="0023560B" w:rsidRPr="00CA329C" w:rsidRDefault="0023560B" w:rsidP="002C3F53">
      <w:pPr>
        <w:rPr>
          <w:rFonts w:ascii="Bookman Old Style" w:eastAsia="Arial" w:hAnsi="Bookman Old Style" w:cs="Arial"/>
          <w:color w:val="000000" w:themeColor="text1"/>
        </w:rPr>
      </w:pPr>
    </w:p>
    <w:p w14:paraId="3B97DC3E" w14:textId="77777777" w:rsidR="00842BF9" w:rsidRPr="00CA329C" w:rsidRDefault="00842BF9" w:rsidP="002C3F53">
      <w:pPr>
        <w:rPr>
          <w:rFonts w:ascii="Bookman Old Style" w:eastAsia="Arial" w:hAnsi="Bookman Old Style" w:cs="Arial"/>
          <w:color w:val="000000" w:themeColor="text1"/>
        </w:rPr>
      </w:pPr>
    </w:p>
    <w:p w14:paraId="4875E253" w14:textId="77777777" w:rsidR="00842BF9" w:rsidRPr="00CA329C" w:rsidRDefault="00842BF9" w:rsidP="002C3F53">
      <w:pPr>
        <w:rPr>
          <w:rFonts w:ascii="Bookman Old Style" w:eastAsia="Arial" w:hAnsi="Bookman Old Style" w:cs="Arial"/>
          <w:color w:val="000000" w:themeColor="text1"/>
        </w:rPr>
      </w:pPr>
    </w:p>
    <w:p w14:paraId="410ADD24" w14:textId="77777777" w:rsidR="00842BF9" w:rsidRPr="00CA329C" w:rsidRDefault="00842BF9" w:rsidP="002C3F53">
      <w:pPr>
        <w:rPr>
          <w:rFonts w:ascii="Bookman Old Style" w:eastAsia="Arial" w:hAnsi="Bookman Old Style" w:cs="Arial"/>
          <w:color w:val="000000" w:themeColor="text1"/>
        </w:rPr>
      </w:pPr>
    </w:p>
    <w:p w14:paraId="00E99A94" w14:textId="6EE17EC4" w:rsidR="00D813AF" w:rsidRDefault="00D813AF" w:rsidP="0036114C">
      <w:pPr>
        <w:jc w:val="center"/>
        <w:rPr>
          <w:rFonts w:ascii="Bookman Old Style" w:eastAsia="Times New Roman" w:hAnsi="Bookman Old Style" w:cs="Arial"/>
          <w:b/>
        </w:rPr>
      </w:pPr>
      <w:r>
        <w:rPr>
          <w:rFonts w:ascii="Bookman Old Style" w:eastAsia="Times New Roman" w:hAnsi="Bookman Old Style" w:cs="Arial"/>
          <w:b/>
        </w:rPr>
        <w:lastRenderedPageBreak/>
        <w:t>TEXTO PROPUESTO PARA PRIMER DEBATE AL</w:t>
      </w:r>
    </w:p>
    <w:p w14:paraId="34B04B0F" w14:textId="3AF5C093" w:rsidR="0036114C" w:rsidRPr="00CA329C" w:rsidRDefault="0036114C" w:rsidP="0036114C">
      <w:pPr>
        <w:jc w:val="center"/>
        <w:rPr>
          <w:rFonts w:ascii="Bookman Old Style" w:eastAsia="Times New Roman" w:hAnsi="Bookman Old Style" w:cs="Arial"/>
          <w:b/>
        </w:rPr>
      </w:pPr>
      <w:r w:rsidRPr="00CA329C">
        <w:rPr>
          <w:rFonts w:ascii="Bookman Old Style" w:eastAsia="Times New Roman" w:hAnsi="Bookman Old Style" w:cs="Arial"/>
          <w:b/>
        </w:rPr>
        <w:t xml:space="preserve">PROYECTO DE LEY </w:t>
      </w:r>
      <w:proofErr w:type="spellStart"/>
      <w:r w:rsidRPr="00CA329C">
        <w:rPr>
          <w:rFonts w:ascii="Bookman Old Style" w:eastAsia="Times New Roman" w:hAnsi="Bookman Old Style" w:cs="Arial"/>
          <w:b/>
        </w:rPr>
        <w:t>N</w:t>
      </w:r>
      <w:r w:rsidR="00EF73D0">
        <w:rPr>
          <w:rFonts w:ascii="Bookman Old Style" w:eastAsia="Times New Roman" w:hAnsi="Bookman Old Style" w:cs="Arial"/>
          <w:b/>
        </w:rPr>
        <w:t>°</w:t>
      </w:r>
      <w:proofErr w:type="spellEnd"/>
      <w:r w:rsidR="000B71BE" w:rsidRPr="00CA329C">
        <w:rPr>
          <w:rFonts w:ascii="Bookman Old Style" w:eastAsia="Times New Roman" w:hAnsi="Bookman Old Style" w:cs="Arial"/>
          <w:b/>
        </w:rPr>
        <w:t xml:space="preserve"> </w:t>
      </w:r>
      <w:r w:rsidR="00727AD9" w:rsidRPr="00CA329C">
        <w:rPr>
          <w:rFonts w:ascii="Bookman Old Style" w:eastAsia="Times New Roman" w:hAnsi="Bookman Old Style" w:cs="Arial"/>
          <w:b/>
        </w:rPr>
        <w:t xml:space="preserve">425 DE 2024 CÁMARA - </w:t>
      </w:r>
      <w:r w:rsidR="000B71BE" w:rsidRPr="00CA329C">
        <w:rPr>
          <w:rFonts w:ascii="Bookman Old Style" w:eastAsia="Times New Roman" w:hAnsi="Bookman Old Style" w:cs="Arial"/>
          <w:b/>
        </w:rPr>
        <w:t>213</w:t>
      </w:r>
      <w:r w:rsidRPr="00CA329C">
        <w:rPr>
          <w:rFonts w:ascii="Bookman Old Style" w:eastAsia="Times New Roman" w:hAnsi="Bookman Old Style" w:cs="Arial"/>
          <w:b/>
        </w:rPr>
        <w:t xml:space="preserve"> DE 2024 SENADO</w:t>
      </w:r>
    </w:p>
    <w:p w14:paraId="6A3C4BB3" w14:textId="77777777" w:rsidR="0036114C" w:rsidRPr="00CA329C" w:rsidRDefault="0036114C" w:rsidP="0036114C">
      <w:pPr>
        <w:jc w:val="both"/>
        <w:rPr>
          <w:rFonts w:ascii="Bookman Old Style" w:eastAsia="Times New Roman" w:hAnsi="Bookman Old Style" w:cs="Arial"/>
          <w:bCs/>
        </w:rPr>
      </w:pPr>
      <w:bookmarkStart w:id="10" w:name="_Hlk177457282"/>
      <w:r w:rsidRPr="00CA329C">
        <w:rPr>
          <w:rFonts w:ascii="Bookman Old Style" w:eastAsia="Times New Roman" w:hAnsi="Bookman Old Style" w:cs="Arial"/>
          <w:bCs/>
        </w:rPr>
        <w:t>Por el cual se establecen disposiciones para dar continuidad a la función pública de control fiscal al Sistema General de Regalías en el bienio 2025-2026</w:t>
      </w:r>
    </w:p>
    <w:bookmarkEnd w:id="10"/>
    <w:p w14:paraId="3F650358" w14:textId="77777777" w:rsidR="0036114C" w:rsidRPr="00CA329C" w:rsidRDefault="0036114C" w:rsidP="0036114C">
      <w:pPr>
        <w:jc w:val="both"/>
        <w:rPr>
          <w:rFonts w:ascii="Bookman Old Style" w:eastAsia="Times New Roman" w:hAnsi="Bookman Old Style" w:cs="Arial"/>
          <w:bCs/>
        </w:rPr>
      </w:pPr>
    </w:p>
    <w:p w14:paraId="32BA722A" w14:textId="77777777" w:rsidR="00EF73D0" w:rsidRPr="00EF73D0" w:rsidRDefault="0036114C" w:rsidP="0036114C">
      <w:pPr>
        <w:jc w:val="center"/>
        <w:rPr>
          <w:rFonts w:ascii="Bookman Old Style" w:eastAsia="Times New Roman" w:hAnsi="Bookman Old Style" w:cs="Arial"/>
          <w:b/>
        </w:rPr>
      </w:pPr>
      <w:r w:rsidRPr="00EF73D0">
        <w:rPr>
          <w:rFonts w:ascii="Bookman Old Style" w:eastAsia="Times New Roman" w:hAnsi="Bookman Old Style" w:cs="Arial"/>
          <w:b/>
        </w:rPr>
        <w:t xml:space="preserve">EL CONGRESO DE COLOMBIA, </w:t>
      </w:r>
    </w:p>
    <w:p w14:paraId="67D0D31E" w14:textId="35BA7579" w:rsidR="0036114C" w:rsidRPr="00EF73D0" w:rsidRDefault="0036114C" w:rsidP="00EF73D0">
      <w:pPr>
        <w:jc w:val="center"/>
        <w:rPr>
          <w:rFonts w:ascii="Bookman Old Style" w:eastAsia="Times New Roman" w:hAnsi="Bookman Old Style" w:cs="Arial"/>
          <w:b/>
        </w:rPr>
      </w:pPr>
      <w:r w:rsidRPr="00EF73D0">
        <w:rPr>
          <w:rFonts w:ascii="Bookman Old Style" w:eastAsia="Times New Roman" w:hAnsi="Bookman Old Style" w:cs="Arial"/>
          <w:b/>
        </w:rPr>
        <w:t xml:space="preserve">DECRETA: </w:t>
      </w:r>
    </w:p>
    <w:p w14:paraId="5140213B" w14:textId="77777777" w:rsidR="0036114C" w:rsidRPr="00CA329C" w:rsidRDefault="0036114C" w:rsidP="0036114C">
      <w:pPr>
        <w:jc w:val="both"/>
        <w:rPr>
          <w:rFonts w:ascii="Bookman Old Style" w:eastAsia="Times New Roman" w:hAnsi="Bookman Old Style" w:cs="Arial"/>
          <w:bCs/>
        </w:rPr>
      </w:pPr>
    </w:p>
    <w:p w14:paraId="2447AD86" w14:textId="77777777" w:rsidR="0036114C" w:rsidRPr="00CA329C" w:rsidRDefault="0036114C" w:rsidP="0036114C">
      <w:pPr>
        <w:autoSpaceDE w:val="0"/>
        <w:autoSpaceDN w:val="0"/>
        <w:adjustRightInd w:val="0"/>
        <w:jc w:val="both"/>
        <w:rPr>
          <w:rFonts w:ascii="Bookman Old Style" w:eastAsia="Times New Roman" w:hAnsi="Bookman Old Style" w:cs="Arial"/>
          <w:bCs/>
          <w:iCs/>
          <w:lang w:val="es-ES_tradnl" w:eastAsia="es-CO"/>
        </w:rPr>
      </w:pPr>
      <w:r w:rsidRPr="00CA329C">
        <w:rPr>
          <w:rFonts w:ascii="Bookman Old Style" w:eastAsia="Times New Roman" w:hAnsi="Bookman Old Style" w:cs="Arial"/>
          <w:b/>
          <w:bCs/>
          <w:lang w:val="es-ES_tradnl" w:eastAsia="es-CO"/>
        </w:rPr>
        <w:t>Artículo 1°</w:t>
      </w:r>
      <w:r w:rsidRPr="00CA329C">
        <w:rPr>
          <w:rFonts w:ascii="Bookman Old Style" w:eastAsia="Times New Roman" w:hAnsi="Bookman Old Style" w:cs="Arial"/>
          <w:b/>
          <w:bCs/>
          <w:i/>
          <w:iCs/>
          <w:lang w:val="es-ES_tradnl" w:eastAsia="es-CO"/>
        </w:rPr>
        <w:t xml:space="preserve">. </w:t>
      </w:r>
      <w:r w:rsidRPr="00CA329C">
        <w:rPr>
          <w:rFonts w:ascii="Bookman Old Style" w:eastAsia="Times New Roman" w:hAnsi="Bookman Old Style" w:cs="Arial"/>
          <w:b/>
          <w:bCs/>
          <w:lang w:val="es-ES_tradnl" w:eastAsia="es-CO"/>
        </w:rPr>
        <w:t>Objeto</w:t>
      </w:r>
      <w:r w:rsidRPr="00CA329C">
        <w:rPr>
          <w:rFonts w:ascii="Bookman Old Style" w:eastAsia="Times New Roman" w:hAnsi="Bookman Old Style" w:cs="Arial"/>
          <w:b/>
          <w:bCs/>
          <w:i/>
          <w:iCs/>
          <w:lang w:val="es-ES_tradnl" w:eastAsia="es-CO"/>
        </w:rPr>
        <w:t xml:space="preserve"> </w:t>
      </w:r>
      <w:r w:rsidRPr="00CA329C">
        <w:rPr>
          <w:rFonts w:ascii="Bookman Old Style" w:eastAsia="Times New Roman" w:hAnsi="Bookman Old Style" w:cs="Arial"/>
          <w:bCs/>
          <w:iCs/>
          <w:lang w:val="es-ES_tradnl" w:eastAsia="es-CO"/>
        </w:rPr>
        <w:t xml:space="preserve">La presente Ley tiene por objeto dar continuidad a la función pública de control y vigilancia fiscal en el marco del Sistema General de Regalías. </w:t>
      </w:r>
    </w:p>
    <w:p w14:paraId="6CD8C664" w14:textId="4D396FFC" w:rsidR="0036114C" w:rsidRDefault="0036114C" w:rsidP="0036114C">
      <w:pPr>
        <w:autoSpaceDE w:val="0"/>
        <w:autoSpaceDN w:val="0"/>
        <w:adjustRightInd w:val="0"/>
        <w:jc w:val="both"/>
        <w:rPr>
          <w:rFonts w:ascii="Bookman Old Style" w:eastAsia="Times New Roman" w:hAnsi="Bookman Old Style" w:cs="Arial"/>
          <w:bCs/>
          <w:iCs/>
          <w:lang w:val="es-ES_tradnl" w:eastAsia="es-CO"/>
        </w:rPr>
      </w:pPr>
    </w:p>
    <w:p w14:paraId="2F89E5E6" w14:textId="77777777" w:rsidR="00EF73D0" w:rsidRPr="00CA329C" w:rsidRDefault="00EF73D0" w:rsidP="0036114C">
      <w:pPr>
        <w:autoSpaceDE w:val="0"/>
        <w:autoSpaceDN w:val="0"/>
        <w:adjustRightInd w:val="0"/>
        <w:jc w:val="both"/>
        <w:rPr>
          <w:rFonts w:ascii="Bookman Old Style" w:eastAsia="Times New Roman" w:hAnsi="Bookman Old Style" w:cs="Arial"/>
          <w:bCs/>
          <w:iCs/>
          <w:lang w:val="es-ES_tradnl" w:eastAsia="es-CO"/>
        </w:rPr>
      </w:pPr>
    </w:p>
    <w:p w14:paraId="51B29CEA" w14:textId="6FBD8019" w:rsidR="00727AD9" w:rsidRPr="00CA329C" w:rsidRDefault="0036114C" w:rsidP="00727AD9">
      <w:pPr>
        <w:jc w:val="both"/>
        <w:rPr>
          <w:rFonts w:ascii="Bookman Old Style" w:eastAsia="Times New Roman" w:hAnsi="Bookman Old Style" w:cs="Arial"/>
          <w:bCs/>
        </w:rPr>
      </w:pPr>
      <w:r w:rsidRPr="00CA329C">
        <w:rPr>
          <w:rFonts w:ascii="Bookman Old Style" w:eastAsia="Times New Roman" w:hAnsi="Bookman Old Style" w:cs="Arial"/>
          <w:b/>
        </w:rPr>
        <w:t xml:space="preserve">Artículo 2°. Planta de Personal de Carácter Temporal. </w:t>
      </w:r>
      <w:r w:rsidR="00727AD9" w:rsidRPr="00CA329C">
        <w:rPr>
          <w:rFonts w:ascii="Bookman Old Style" w:eastAsia="Times New Roman" w:hAnsi="Bookman Old Style" w:cs="Arial"/>
          <w:bCs/>
        </w:rPr>
        <w:t>Prorrogar hasta el 31 de diciembre de 2026 la planta temporal de la Contraloría General de la República para la vigilancia y control fiscal de los recursos del Sistema General de Regalías, creada mediante Decreto-Ley 2651 de 2022.</w:t>
      </w:r>
    </w:p>
    <w:p w14:paraId="53E8232F" w14:textId="77777777" w:rsidR="00727AD9" w:rsidRPr="00CA329C" w:rsidRDefault="00727AD9" w:rsidP="00727AD9">
      <w:pPr>
        <w:jc w:val="both"/>
        <w:rPr>
          <w:rFonts w:ascii="Bookman Old Style" w:eastAsia="Times New Roman" w:hAnsi="Bookman Old Style" w:cs="Arial"/>
          <w:bCs/>
        </w:rPr>
      </w:pPr>
    </w:p>
    <w:p w14:paraId="6B8F80A2" w14:textId="75030D0A" w:rsidR="0036114C" w:rsidRPr="00CA329C" w:rsidRDefault="00727AD9" w:rsidP="00727AD9">
      <w:pPr>
        <w:jc w:val="both"/>
        <w:rPr>
          <w:rFonts w:ascii="Bookman Old Style" w:eastAsia="Times New Roman" w:hAnsi="Bookman Old Style" w:cs="Arial"/>
          <w:bCs/>
        </w:rPr>
      </w:pPr>
      <w:r w:rsidRPr="00CA329C">
        <w:rPr>
          <w:rFonts w:ascii="Bookman Old Style" w:eastAsia="Times New Roman" w:hAnsi="Bookman Old Style" w:cs="Arial"/>
          <w:bCs/>
        </w:rPr>
        <w:t>Corresponderá al Contralor General de la República, según sus funciones, efectuar los ajustes necesarios a la Planta de Personal, consistente con los montos apropiados a dicho órgano de control, según el presupuesto establecido para el bienio 2025-2026, para ajustarla a las necesidades del servicio y al comportamiento efectivo del recaudo.</w:t>
      </w:r>
    </w:p>
    <w:p w14:paraId="1118297A" w14:textId="71453360" w:rsidR="00727AD9" w:rsidRDefault="00727AD9" w:rsidP="00727AD9">
      <w:pPr>
        <w:jc w:val="both"/>
        <w:rPr>
          <w:rFonts w:ascii="Bookman Old Style" w:eastAsia="Times New Roman" w:hAnsi="Bookman Old Style" w:cs="Arial"/>
          <w:bCs/>
        </w:rPr>
      </w:pPr>
    </w:p>
    <w:p w14:paraId="06D0D913" w14:textId="77777777" w:rsidR="00BE1E89" w:rsidRPr="00CA329C" w:rsidRDefault="00BE1E89" w:rsidP="00727AD9">
      <w:pPr>
        <w:jc w:val="both"/>
        <w:rPr>
          <w:rFonts w:ascii="Bookman Old Style" w:eastAsia="Times New Roman" w:hAnsi="Bookman Old Style" w:cs="Arial"/>
          <w:bCs/>
        </w:rPr>
      </w:pPr>
    </w:p>
    <w:p w14:paraId="7B46BBBD" w14:textId="77777777" w:rsidR="0036114C" w:rsidRPr="00CA329C" w:rsidRDefault="0036114C" w:rsidP="0036114C">
      <w:pPr>
        <w:jc w:val="both"/>
        <w:rPr>
          <w:rFonts w:ascii="Bookman Old Style" w:eastAsia="Times New Roman" w:hAnsi="Bookman Old Style" w:cs="Arial"/>
          <w:bCs/>
        </w:rPr>
      </w:pPr>
      <w:r w:rsidRPr="00CA329C">
        <w:rPr>
          <w:rFonts w:ascii="Bookman Old Style" w:eastAsia="Times New Roman" w:hAnsi="Bookman Old Style" w:cs="Arial"/>
          <w:b/>
        </w:rPr>
        <w:t>Artículo 3º Vigencia.</w:t>
      </w:r>
      <w:r w:rsidRPr="00CA329C">
        <w:rPr>
          <w:rFonts w:ascii="Bookman Old Style" w:eastAsia="Times New Roman" w:hAnsi="Bookman Old Style" w:cs="Arial"/>
          <w:bCs/>
        </w:rPr>
        <w:t xml:space="preserve"> La presente ley rige a partir de la fecha de su publicación y modifica las normas previas. </w:t>
      </w:r>
    </w:p>
    <w:p w14:paraId="639D2949" w14:textId="77777777" w:rsidR="0036114C" w:rsidRPr="00CA329C" w:rsidRDefault="0036114C" w:rsidP="0036114C">
      <w:pPr>
        <w:jc w:val="both"/>
        <w:rPr>
          <w:rFonts w:ascii="Bookman Old Style" w:eastAsia="Times New Roman" w:hAnsi="Bookman Old Style" w:cs="Arial"/>
          <w:bCs/>
        </w:rPr>
      </w:pPr>
    </w:p>
    <w:p w14:paraId="1F45B774" w14:textId="77777777" w:rsidR="0036114C" w:rsidRPr="00CA329C" w:rsidRDefault="0036114C" w:rsidP="0036114C">
      <w:pPr>
        <w:rPr>
          <w:rFonts w:ascii="Bookman Old Style" w:eastAsia="Arial" w:hAnsi="Bookman Old Style" w:cs="Arial"/>
          <w:color w:val="000000" w:themeColor="text1"/>
          <w:lang w:val="es-ES"/>
        </w:rPr>
      </w:pPr>
    </w:p>
    <w:p w14:paraId="509BA020" w14:textId="77777777" w:rsidR="0036114C" w:rsidRPr="00CA329C" w:rsidRDefault="0036114C" w:rsidP="0036114C">
      <w:pPr>
        <w:rPr>
          <w:rFonts w:ascii="Bookman Old Style" w:eastAsia="Arial" w:hAnsi="Bookman Old Style" w:cs="Arial"/>
          <w:color w:val="000000" w:themeColor="text1"/>
          <w:lang w:val="es-ES"/>
        </w:rPr>
      </w:pPr>
    </w:p>
    <w:p w14:paraId="7D5AD44C" w14:textId="77777777" w:rsidR="0036114C" w:rsidRPr="00CA329C" w:rsidRDefault="0036114C" w:rsidP="0036114C">
      <w:pPr>
        <w:rPr>
          <w:rFonts w:ascii="Bookman Old Style" w:eastAsia="Arial" w:hAnsi="Bookman Old Style" w:cs="Arial"/>
          <w:color w:val="000000" w:themeColor="text1"/>
          <w:lang w:val="es-ES"/>
        </w:rPr>
      </w:pPr>
      <w:r w:rsidRPr="00CA329C">
        <w:rPr>
          <w:rFonts w:ascii="Bookman Old Style" w:eastAsia="Arial" w:hAnsi="Bookman Old Style" w:cs="Arial"/>
          <w:color w:val="000000" w:themeColor="text1"/>
          <w:lang w:val="es-ES"/>
        </w:rPr>
        <w:t xml:space="preserve">Atentamente, </w:t>
      </w:r>
    </w:p>
    <w:p w14:paraId="5268BB6E" w14:textId="77777777" w:rsidR="000E2695" w:rsidRPr="00CA329C" w:rsidRDefault="000E2695" w:rsidP="000E2695">
      <w:pPr>
        <w:rPr>
          <w:rFonts w:ascii="Bookman Old Style" w:eastAsia="Arial" w:hAnsi="Bookman Old Style" w:cs="Arial"/>
          <w:color w:val="000000" w:themeColor="text1"/>
          <w:lang w:val="es-ES"/>
        </w:rPr>
      </w:pPr>
    </w:p>
    <w:p w14:paraId="16EB4E05" w14:textId="034C33DA" w:rsidR="000E2695" w:rsidRPr="00CA329C" w:rsidRDefault="000E2695" w:rsidP="000E2695">
      <w:pPr>
        <w:rPr>
          <w:rFonts w:ascii="Bookman Old Style" w:eastAsia="Arial" w:hAnsi="Bookman Old Style" w:cs="Arial"/>
          <w:color w:val="000000" w:themeColor="text1"/>
          <w:lang w:val="es-ES"/>
        </w:rPr>
      </w:pPr>
    </w:p>
    <w:p w14:paraId="51878D23" w14:textId="1732EC17" w:rsidR="00336532" w:rsidRPr="00CA329C" w:rsidRDefault="00336532" w:rsidP="000E2695">
      <w:pPr>
        <w:rPr>
          <w:rFonts w:ascii="Bookman Old Style" w:eastAsia="Arial" w:hAnsi="Bookman Old Style" w:cs="Arial"/>
          <w:color w:val="000000" w:themeColor="text1"/>
          <w:lang w:val="es-ES"/>
        </w:rPr>
      </w:pPr>
    </w:p>
    <w:p w14:paraId="5C1CCE3C" w14:textId="25D7D5B8" w:rsidR="000E2695" w:rsidRPr="00CA329C" w:rsidRDefault="000E2695" w:rsidP="000E2695">
      <w:pPr>
        <w:rPr>
          <w:rFonts w:ascii="Bookman Old Style" w:eastAsia="Arial" w:hAnsi="Bookman Old Style" w:cs="Arial"/>
          <w:color w:val="000000" w:themeColor="text1"/>
          <w:lang w:val="es-ES"/>
        </w:rPr>
      </w:pPr>
    </w:p>
    <w:p w14:paraId="5820CB62" w14:textId="77777777" w:rsidR="000E2695" w:rsidRPr="00CA329C" w:rsidRDefault="000E2695" w:rsidP="000E2695">
      <w:pPr>
        <w:rPr>
          <w:rFonts w:ascii="Bookman Old Style" w:eastAsia="Arial" w:hAnsi="Bookman Old Style" w:cs="Arial"/>
          <w:color w:val="000000" w:themeColor="text1"/>
          <w:lang w:val="es-ES"/>
        </w:rPr>
      </w:pPr>
    </w:p>
    <w:p w14:paraId="49FAD90E" w14:textId="77777777" w:rsidR="00727AD9" w:rsidRPr="00CA329C" w:rsidRDefault="00727AD9" w:rsidP="00727AD9">
      <w:pPr>
        <w:rPr>
          <w:rFonts w:ascii="Bookman Old Style" w:hAnsi="Bookman Old Style"/>
          <w:b/>
          <w:bCs/>
        </w:rPr>
      </w:pPr>
      <w:r w:rsidRPr="00CA329C">
        <w:rPr>
          <w:rFonts w:ascii="Bookman Old Style" w:hAnsi="Bookman Old Style"/>
          <w:b/>
          <w:bCs/>
        </w:rPr>
        <w:t>JORGE ELIÉCER TAMAYO MARULANDA</w:t>
      </w:r>
    </w:p>
    <w:p w14:paraId="3765C0F5" w14:textId="77777777" w:rsidR="00727AD9" w:rsidRPr="00CA329C" w:rsidRDefault="00727AD9" w:rsidP="00727AD9">
      <w:pPr>
        <w:rPr>
          <w:rFonts w:ascii="Bookman Old Style" w:hAnsi="Bookman Old Style"/>
        </w:rPr>
      </w:pPr>
      <w:r w:rsidRPr="00CA329C">
        <w:rPr>
          <w:rFonts w:ascii="Bookman Old Style" w:hAnsi="Bookman Old Style"/>
        </w:rPr>
        <w:t>Representante a la Cámara</w:t>
      </w:r>
    </w:p>
    <w:p w14:paraId="4B1558E3" w14:textId="55A84CCC" w:rsidR="00E37F85" w:rsidRPr="00CA329C" w:rsidRDefault="00727AD9" w:rsidP="00727AD9">
      <w:pPr>
        <w:jc w:val="both"/>
        <w:rPr>
          <w:rFonts w:ascii="Bookman Old Style" w:eastAsia="Arial" w:hAnsi="Bookman Old Style" w:cs="Arial"/>
          <w:color w:val="000000" w:themeColor="text1"/>
          <w:lang w:val="es-ES"/>
        </w:rPr>
      </w:pPr>
      <w:r w:rsidRPr="00CA329C">
        <w:rPr>
          <w:rFonts w:ascii="Bookman Old Style" w:hAnsi="Bookman Old Style"/>
        </w:rPr>
        <w:t>Partido de la U</w:t>
      </w:r>
    </w:p>
    <w:sectPr w:rsidR="00E37F85" w:rsidRPr="00CA329C" w:rsidSect="00782CA3">
      <w:headerReference w:type="default" r:id="rId9"/>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69F4" w14:textId="77777777" w:rsidR="0031425D" w:rsidRDefault="0031425D" w:rsidP="00030B15">
      <w:r>
        <w:separator/>
      </w:r>
    </w:p>
  </w:endnote>
  <w:endnote w:type="continuationSeparator" w:id="0">
    <w:p w14:paraId="7E618F8C" w14:textId="77777777" w:rsidR="0031425D" w:rsidRDefault="0031425D" w:rsidP="0003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11B6" w14:textId="77777777" w:rsidR="0031425D" w:rsidRDefault="0031425D" w:rsidP="00030B15">
      <w:r>
        <w:separator/>
      </w:r>
    </w:p>
  </w:footnote>
  <w:footnote w:type="continuationSeparator" w:id="0">
    <w:p w14:paraId="5EE01E5B" w14:textId="77777777" w:rsidR="0031425D" w:rsidRDefault="0031425D" w:rsidP="00030B15">
      <w:r>
        <w:continuationSeparator/>
      </w:r>
    </w:p>
  </w:footnote>
  <w:footnote w:id="1">
    <w:p w14:paraId="3354D5F5" w14:textId="77777777" w:rsidR="00C94A51" w:rsidRPr="009759E9" w:rsidRDefault="00C94A51" w:rsidP="003A77A8">
      <w:pPr>
        <w:pStyle w:val="Textonotapie"/>
        <w:rPr>
          <w:rFonts w:ascii="Arial Narrow" w:hAnsi="Arial Narrow"/>
          <w:color w:val="000000"/>
          <w:sz w:val="18"/>
          <w:szCs w:val="18"/>
        </w:rPr>
      </w:pPr>
      <w:r w:rsidRPr="009759E9">
        <w:rPr>
          <w:rStyle w:val="Refdenotaalpie"/>
          <w:rFonts w:ascii="Arial Narrow" w:hAnsi="Arial Narrow"/>
          <w:color w:val="000000"/>
          <w:sz w:val="18"/>
          <w:szCs w:val="18"/>
        </w:rPr>
        <w:footnoteRef/>
      </w:r>
      <w:r w:rsidRPr="009759E9">
        <w:rPr>
          <w:rFonts w:ascii="Arial Narrow" w:hAnsi="Arial Narrow"/>
          <w:color w:val="000000"/>
          <w:sz w:val="18"/>
          <w:szCs w:val="18"/>
        </w:rPr>
        <w:t xml:space="preserve"> Fiscal </w:t>
      </w:r>
    </w:p>
  </w:footnote>
  <w:footnote w:id="2">
    <w:p w14:paraId="58A0F7C3" w14:textId="77777777" w:rsidR="00C94A51" w:rsidRPr="009759E9" w:rsidRDefault="00C94A51" w:rsidP="003A77A8">
      <w:pPr>
        <w:pStyle w:val="Textonotapie"/>
        <w:rPr>
          <w:rFonts w:ascii="Arial Narrow" w:hAnsi="Arial Narrow"/>
          <w:color w:val="000000"/>
          <w:sz w:val="18"/>
          <w:szCs w:val="18"/>
        </w:rPr>
      </w:pPr>
      <w:r w:rsidRPr="009759E9">
        <w:rPr>
          <w:rStyle w:val="Refdenotaalpie"/>
          <w:rFonts w:ascii="Arial Narrow" w:hAnsi="Arial Narrow"/>
          <w:color w:val="000000"/>
          <w:sz w:val="18"/>
          <w:szCs w:val="18"/>
        </w:rPr>
        <w:footnoteRef/>
      </w:r>
      <w:r w:rsidRPr="009759E9">
        <w:rPr>
          <w:rFonts w:ascii="Arial Narrow" w:hAnsi="Arial Narrow"/>
          <w:color w:val="000000"/>
          <w:sz w:val="18"/>
          <w:szCs w:val="18"/>
        </w:rPr>
        <w:t xml:space="preserve"> Disciplinario</w:t>
      </w:r>
    </w:p>
  </w:footnote>
  <w:footnote w:id="3">
    <w:p w14:paraId="324DD2ED" w14:textId="77777777" w:rsidR="00C94A51" w:rsidRPr="009759E9" w:rsidRDefault="00C94A51" w:rsidP="003A77A8">
      <w:pPr>
        <w:pStyle w:val="Textonotapie"/>
        <w:rPr>
          <w:rFonts w:ascii="Arial Narrow" w:hAnsi="Arial Narrow"/>
          <w:color w:val="000000"/>
          <w:sz w:val="18"/>
          <w:szCs w:val="18"/>
        </w:rPr>
      </w:pPr>
      <w:r w:rsidRPr="009759E9">
        <w:rPr>
          <w:rStyle w:val="Refdenotaalpie"/>
          <w:rFonts w:ascii="Arial Narrow" w:hAnsi="Arial Narrow"/>
          <w:color w:val="000000"/>
          <w:sz w:val="18"/>
          <w:szCs w:val="18"/>
        </w:rPr>
        <w:footnoteRef/>
      </w:r>
      <w:r w:rsidRPr="009759E9">
        <w:rPr>
          <w:rFonts w:ascii="Arial Narrow" w:hAnsi="Arial Narrow"/>
          <w:color w:val="000000"/>
          <w:sz w:val="18"/>
          <w:szCs w:val="18"/>
        </w:rPr>
        <w:t xml:space="preserve"> Penal</w:t>
      </w:r>
    </w:p>
  </w:footnote>
  <w:footnote w:id="4">
    <w:p w14:paraId="6EA194D4" w14:textId="77777777" w:rsidR="00C94A51" w:rsidRDefault="00C94A51" w:rsidP="003A77A8">
      <w:pPr>
        <w:pStyle w:val="Textonotapie"/>
      </w:pPr>
      <w:r w:rsidRPr="009759E9">
        <w:rPr>
          <w:rStyle w:val="Refdenotaalpie"/>
          <w:rFonts w:ascii="Arial Narrow" w:hAnsi="Arial Narrow"/>
          <w:color w:val="000000"/>
          <w:sz w:val="18"/>
          <w:szCs w:val="18"/>
        </w:rPr>
        <w:footnoteRef/>
      </w:r>
      <w:r w:rsidRPr="009759E9">
        <w:rPr>
          <w:rFonts w:ascii="Arial Narrow" w:hAnsi="Arial Narrow"/>
          <w:color w:val="000000"/>
          <w:sz w:val="18"/>
          <w:szCs w:val="18"/>
        </w:rPr>
        <w:t xml:space="preserve">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C44B" w14:textId="3E5FC54F" w:rsidR="00C94A51" w:rsidRPr="00CA329C" w:rsidRDefault="00CA329C" w:rsidP="00CA329C">
    <w:pPr>
      <w:pBdr>
        <w:top w:val="nil"/>
        <w:left w:val="nil"/>
        <w:bottom w:val="nil"/>
        <w:right w:val="nil"/>
        <w:between w:val="nil"/>
      </w:pBdr>
      <w:tabs>
        <w:tab w:val="center" w:pos="4419"/>
        <w:tab w:val="right" w:pos="8838"/>
      </w:tabs>
      <w:rPr>
        <w:color w:val="000000"/>
      </w:rPr>
    </w:pPr>
    <w:bookmarkStart w:id="11" w:name="_heading=h.44sinio" w:colFirst="0" w:colLast="0"/>
    <w:bookmarkEnd w:id="11"/>
    <w:r>
      <w:rPr>
        <w:noProof/>
        <w:color w:val="000000"/>
      </w:rPr>
      <w:drawing>
        <wp:inline distT="0" distB="0" distL="0" distR="0" wp14:anchorId="688EE483" wp14:editId="4CE15233">
          <wp:extent cx="2440305" cy="925195"/>
          <wp:effectExtent l="0" t="0" r="0" b="0"/>
          <wp:docPr id="1528530963" name="image5.png" descr="CAMARA"/>
          <wp:cNvGraphicFramePr/>
          <a:graphic xmlns:a="http://schemas.openxmlformats.org/drawingml/2006/main">
            <a:graphicData uri="http://schemas.openxmlformats.org/drawingml/2006/picture">
              <pic:pic xmlns:pic="http://schemas.openxmlformats.org/drawingml/2006/picture">
                <pic:nvPicPr>
                  <pic:cNvPr id="0" name="image5.png" descr="CAMARA"/>
                  <pic:cNvPicPr preferRelativeResize="0"/>
                </pic:nvPicPr>
                <pic:blipFill>
                  <a:blip r:embed="rId1"/>
                  <a:srcRect/>
                  <a:stretch>
                    <a:fillRect/>
                  </a:stretch>
                </pic:blipFill>
                <pic:spPr>
                  <a:xfrm>
                    <a:off x="0" y="0"/>
                    <a:ext cx="2440305" cy="925195"/>
                  </a:xfrm>
                  <a:prstGeom prst="rect">
                    <a:avLst/>
                  </a:prstGeom>
                  <a:ln/>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r>
      <w:rPr>
        <w:noProof/>
        <w:color w:val="000000"/>
      </w:rPr>
      <w:drawing>
        <wp:inline distT="0" distB="0" distL="0" distR="0" wp14:anchorId="7B1B5BD8" wp14:editId="639F6E32">
          <wp:extent cx="2002155" cy="838835"/>
          <wp:effectExtent l="0" t="0" r="0" b="0"/>
          <wp:docPr id="152853096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2002155" cy="8388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4BD"/>
    <w:multiLevelType w:val="hybridMultilevel"/>
    <w:tmpl w:val="E514CF66"/>
    <w:lvl w:ilvl="0" w:tplc="9C8639AA">
      <w:numFmt w:val="bullet"/>
      <w:lvlText w:val="-"/>
      <w:lvlJc w:val="left"/>
      <w:pPr>
        <w:ind w:left="720" w:hanging="360"/>
      </w:pPr>
      <w:rPr>
        <w:rFonts w:ascii="Georgia" w:eastAsiaTheme="minorEastAsia" w:hAnsi="Georgia"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D2F6C"/>
    <w:multiLevelType w:val="hybridMultilevel"/>
    <w:tmpl w:val="FCD8B4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1C22AA"/>
    <w:multiLevelType w:val="hybridMultilevel"/>
    <w:tmpl w:val="2AA2D5A8"/>
    <w:lvl w:ilvl="0" w:tplc="9C8639AA">
      <w:numFmt w:val="bullet"/>
      <w:lvlText w:val="-"/>
      <w:lvlJc w:val="left"/>
      <w:pPr>
        <w:ind w:left="720" w:hanging="360"/>
      </w:pPr>
      <w:rPr>
        <w:rFonts w:ascii="Georgia" w:eastAsiaTheme="minorEastAsia"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5C3BF6"/>
    <w:multiLevelType w:val="hybridMultilevel"/>
    <w:tmpl w:val="0562E1B2"/>
    <w:lvl w:ilvl="0" w:tplc="7F38FCD2">
      <w:start w:val="248"/>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910523"/>
    <w:multiLevelType w:val="hybridMultilevel"/>
    <w:tmpl w:val="A282DA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5B7C84"/>
    <w:multiLevelType w:val="hybridMultilevel"/>
    <w:tmpl w:val="98103692"/>
    <w:lvl w:ilvl="0" w:tplc="240A0001">
      <w:start w:val="1"/>
      <w:numFmt w:val="bullet"/>
      <w:lvlText w:val=""/>
      <w:lvlJc w:val="left"/>
      <w:pPr>
        <w:ind w:left="780" w:hanging="360"/>
      </w:pPr>
      <w:rPr>
        <w:rFonts w:ascii="Symbol" w:hAnsi="Symbol" w:hint="default"/>
      </w:rPr>
    </w:lvl>
    <w:lvl w:ilvl="1" w:tplc="E480B95E">
      <w:start w:val="6"/>
      <w:numFmt w:val="bullet"/>
      <w:lvlText w:val="-"/>
      <w:lvlJc w:val="left"/>
      <w:pPr>
        <w:ind w:left="1845" w:hanging="705"/>
      </w:pPr>
      <w:rPr>
        <w:rFonts w:ascii="Bookman Old Style" w:eastAsiaTheme="minorEastAsia" w:hAnsi="Bookman Old Style" w:cstheme="minorBidi"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31D73398"/>
    <w:multiLevelType w:val="hybridMultilevel"/>
    <w:tmpl w:val="4AD8AB68"/>
    <w:lvl w:ilvl="0" w:tplc="E88CC7D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0D3439"/>
    <w:multiLevelType w:val="hybridMultilevel"/>
    <w:tmpl w:val="F3769DBC"/>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43472C"/>
    <w:multiLevelType w:val="hybridMultilevel"/>
    <w:tmpl w:val="A5621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4260F4"/>
    <w:multiLevelType w:val="hybridMultilevel"/>
    <w:tmpl w:val="894239F4"/>
    <w:lvl w:ilvl="0" w:tplc="E88CC7D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9172EE"/>
    <w:multiLevelType w:val="multilevel"/>
    <w:tmpl w:val="BFAA730C"/>
    <w:lvl w:ilvl="0">
      <w:start w:val="5"/>
      <w:numFmt w:val="decimal"/>
      <w:lvlText w:val="%1."/>
      <w:lvlJc w:val="left"/>
      <w:pPr>
        <w:ind w:left="645" w:hanging="64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52985B6C"/>
    <w:multiLevelType w:val="hybridMultilevel"/>
    <w:tmpl w:val="1E0AC846"/>
    <w:lvl w:ilvl="0" w:tplc="7F38FCD2">
      <w:start w:val="248"/>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577CA5"/>
    <w:multiLevelType w:val="hybridMultilevel"/>
    <w:tmpl w:val="65AAC90C"/>
    <w:lvl w:ilvl="0" w:tplc="9C8639AA">
      <w:numFmt w:val="bullet"/>
      <w:lvlText w:val="-"/>
      <w:lvlJc w:val="left"/>
      <w:pPr>
        <w:ind w:left="720" w:hanging="360"/>
      </w:pPr>
      <w:rPr>
        <w:rFonts w:ascii="Georgia" w:eastAsiaTheme="minorEastAsia" w:hAnsi="Georgia" w:cstheme="minorBidi" w:hint="default"/>
      </w:rPr>
    </w:lvl>
    <w:lvl w:ilvl="1" w:tplc="4FBC3148">
      <w:numFmt w:val="bullet"/>
      <w:lvlText w:val="•"/>
      <w:lvlJc w:val="left"/>
      <w:pPr>
        <w:ind w:left="1785" w:hanging="705"/>
      </w:pPr>
      <w:rPr>
        <w:rFonts w:ascii="Georgia" w:eastAsiaTheme="minorEastAsia" w:hAnsi="Georgia"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C650F2"/>
    <w:multiLevelType w:val="hybridMultilevel"/>
    <w:tmpl w:val="6B5C27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C742F7"/>
    <w:multiLevelType w:val="hybridMultilevel"/>
    <w:tmpl w:val="BD5050D2"/>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E81919"/>
    <w:multiLevelType w:val="hybridMultilevel"/>
    <w:tmpl w:val="A5621F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9"/>
  </w:num>
  <w:num w:numId="5">
    <w:abstractNumId w:val="6"/>
  </w:num>
  <w:num w:numId="6">
    <w:abstractNumId w:val="10"/>
  </w:num>
  <w:num w:numId="7">
    <w:abstractNumId w:val="11"/>
  </w:num>
  <w:num w:numId="8">
    <w:abstractNumId w:val="13"/>
  </w:num>
  <w:num w:numId="9">
    <w:abstractNumId w:val="12"/>
  </w:num>
  <w:num w:numId="10">
    <w:abstractNumId w:val="2"/>
  </w:num>
  <w:num w:numId="11">
    <w:abstractNumId w:val="14"/>
  </w:num>
  <w:num w:numId="12">
    <w:abstractNumId w:val="4"/>
  </w:num>
  <w:num w:numId="13">
    <w:abstractNumId w:val="7"/>
  </w:num>
  <w:num w:numId="14">
    <w:abstractNumId w:val="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7D"/>
    <w:rsid w:val="000013B8"/>
    <w:rsid w:val="00010D1B"/>
    <w:rsid w:val="00030B15"/>
    <w:rsid w:val="00054670"/>
    <w:rsid w:val="00061EB7"/>
    <w:rsid w:val="000777BC"/>
    <w:rsid w:val="00080030"/>
    <w:rsid w:val="00081F17"/>
    <w:rsid w:val="00091BF3"/>
    <w:rsid w:val="00092E3E"/>
    <w:rsid w:val="00094449"/>
    <w:rsid w:val="000A21E4"/>
    <w:rsid w:val="000A4A59"/>
    <w:rsid w:val="000B0B13"/>
    <w:rsid w:val="000B0ECD"/>
    <w:rsid w:val="000B6835"/>
    <w:rsid w:val="000B71BE"/>
    <w:rsid w:val="000C5CD1"/>
    <w:rsid w:val="000D2429"/>
    <w:rsid w:val="000E2695"/>
    <w:rsid w:val="000E362E"/>
    <w:rsid w:val="000E3FB4"/>
    <w:rsid w:val="000E7EC2"/>
    <w:rsid w:val="000F1F28"/>
    <w:rsid w:val="000F3F7A"/>
    <w:rsid w:val="0010576B"/>
    <w:rsid w:val="00105AFA"/>
    <w:rsid w:val="00115C83"/>
    <w:rsid w:val="001162B8"/>
    <w:rsid w:val="0012442F"/>
    <w:rsid w:val="00126477"/>
    <w:rsid w:val="0012747D"/>
    <w:rsid w:val="001275B4"/>
    <w:rsid w:val="001350B5"/>
    <w:rsid w:val="001373F8"/>
    <w:rsid w:val="0014674A"/>
    <w:rsid w:val="00147247"/>
    <w:rsid w:val="00147EE9"/>
    <w:rsid w:val="0015274E"/>
    <w:rsid w:val="00153EB4"/>
    <w:rsid w:val="00161AE6"/>
    <w:rsid w:val="00163676"/>
    <w:rsid w:val="0016420E"/>
    <w:rsid w:val="00172C01"/>
    <w:rsid w:val="00184570"/>
    <w:rsid w:val="001A1526"/>
    <w:rsid w:val="001A357B"/>
    <w:rsid w:val="001A6567"/>
    <w:rsid w:val="001B3E4A"/>
    <w:rsid w:val="001B5429"/>
    <w:rsid w:val="001E4AF9"/>
    <w:rsid w:val="001E6697"/>
    <w:rsid w:val="001E7DEA"/>
    <w:rsid w:val="00214488"/>
    <w:rsid w:val="00220183"/>
    <w:rsid w:val="002339F7"/>
    <w:rsid w:val="00233EB7"/>
    <w:rsid w:val="0023560B"/>
    <w:rsid w:val="002370AE"/>
    <w:rsid w:val="0024259B"/>
    <w:rsid w:val="002434AE"/>
    <w:rsid w:val="00244211"/>
    <w:rsid w:val="00245B7F"/>
    <w:rsid w:val="00247E6D"/>
    <w:rsid w:val="00254832"/>
    <w:rsid w:val="002611D8"/>
    <w:rsid w:val="00274DAB"/>
    <w:rsid w:val="0028048E"/>
    <w:rsid w:val="00291AA1"/>
    <w:rsid w:val="00292C5E"/>
    <w:rsid w:val="00297FE4"/>
    <w:rsid w:val="002B3262"/>
    <w:rsid w:val="002C3F53"/>
    <w:rsid w:val="002C48EC"/>
    <w:rsid w:val="002D3B95"/>
    <w:rsid w:val="002E19ED"/>
    <w:rsid w:val="002F0CA0"/>
    <w:rsid w:val="0031425D"/>
    <w:rsid w:val="003264E1"/>
    <w:rsid w:val="00336532"/>
    <w:rsid w:val="00340455"/>
    <w:rsid w:val="00343A05"/>
    <w:rsid w:val="0036114C"/>
    <w:rsid w:val="00363DC4"/>
    <w:rsid w:val="00366024"/>
    <w:rsid w:val="00377FAA"/>
    <w:rsid w:val="00391918"/>
    <w:rsid w:val="003A1DA4"/>
    <w:rsid w:val="003A77A8"/>
    <w:rsid w:val="003D72D8"/>
    <w:rsid w:val="003E36C9"/>
    <w:rsid w:val="00400AEB"/>
    <w:rsid w:val="00411E7C"/>
    <w:rsid w:val="00412F6E"/>
    <w:rsid w:val="00423467"/>
    <w:rsid w:val="00447831"/>
    <w:rsid w:val="00476EE7"/>
    <w:rsid w:val="0048371F"/>
    <w:rsid w:val="00494C76"/>
    <w:rsid w:val="004B3D6A"/>
    <w:rsid w:val="004B7621"/>
    <w:rsid w:val="004C1957"/>
    <w:rsid w:val="004C6EFC"/>
    <w:rsid w:val="004D72F2"/>
    <w:rsid w:val="004E2C42"/>
    <w:rsid w:val="004E6761"/>
    <w:rsid w:val="0050119F"/>
    <w:rsid w:val="0050239D"/>
    <w:rsid w:val="00502AFF"/>
    <w:rsid w:val="00514F0D"/>
    <w:rsid w:val="00516D4C"/>
    <w:rsid w:val="00521177"/>
    <w:rsid w:val="00525942"/>
    <w:rsid w:val="00545DE8"/>
    <w:rsid w:val="005476A5"/>
    <w:rsid w:val="00547A87"/>
    <w:rsid w:val="0056027D"/>
    <w:rsid w:val="00560DAE"/>
    <w:rsid w:val="0056358C"/>
    <w:rsid w:val="0056402B"/>
    <w:rsid w:val="00564256"/>
    <w:rsid w:val="00567DE9"/>
    <w:rsid w:val="00574450"/>
    <w:rsid w:val="005766EE"/>
    <w:rsid w:val="00584D97"/>
    <w:rsid w:val="00594311"/>
    <w:rsid w:val="005948F4"/>
    <w:rsid w:val="0059734B"/>
    <w:rsid w:val="005A4A79"/>
    <w:rsid w:val="005A6024"/>
    <w:rsid w:val="005A6416"/>
    <w:rsid w:val="005B0FE1"/>
    <w:rsid w:val="005B75C0"/>
    <w:rsid w:val="005C7375"/>
    <w:rsid w:val="005D09B1"/>
    <w:rsid w:val="005D33E6"/>
    <w:rsid w:val="005D7D2E"/>
    <w:rsid w:val="005F7189"/>
    <w:rsid w:val="0060726F"/>
    <w:rsid w:val="00612609"/>
    <w:rsid w:val="00623E0D"/>
    <w:rsid w:val="00640658"/>
    <w:rsid w:val="006622CD"/>
    <w:rsid w:val="00673057"/>
    <w:rsid w:val="0067608B"/>
    <w:rsid w:val="00685B55"/>
    <w:rsid w:val="0069073E"/>
    <w:rsid w:val="00697991"/>
    <w:rsid w:val="006B3A30"/>
    <w:rsid w:val="006B4D39"/>
    <w:rsid w:val="006B677E"/>
    <w:rsid w:val="006B7A58"/>
    <w:rsid w:val="006C264A"/>
    <w:rsid w:val="006D017F"/>
    <w:rsid w:val="006E2A7C"/>
    <w:rsid w:val="006F190C"/>
    <w:rsid w:val="006F3203"/>
    <w:rsid w:val="00714BED"/>
    <w:rsid w:val="00721397"/>
    <w:rsid w:val="0072791D"/>
    <w:rsid w:val="00727AD9"/>
    <w:rsid w:val="00731225"/>
    <w:rsid w:val="00751833"/>
    <w:rsid w:val="007729F5"/>
    <w:rsid w:val="007751B0"/>
    <w:rsid w:val="0077556B"/>
    <w:rsid w:val="00782CA3"/>
    <w:rsid w:val="007857F0"/>
    <w:rsid w:val="0078726E"/>
    <w:rsid w:val="00794574"/>
    <w:rsid w:val="00796B23"/>
    <w:rsid w:val="00797250"/>
    <w:rsid w:val="007A21CA"/>
    <w:rsid w:val="007A320F"/>
    <w:rsid w:val="007A79E4"/>
    <w:rsid w:val="007C1FBB"/>
    <w:rsid w:val="007C40D9"/>
    <w:rsid w:val="007C4D1D"/>
    <w:rsid w:val="007D07AF"/>
    <w:rsid w:val="007D6997"/>
    <w:rsid w:val="007F3E73"/>
    <w:rsid w:val="00811E31"/>
    <w:rsid w:val="00815EDA"/>
    <w:rsid w:val="00842BF9"/>
    <w:rsid w:val="00847819"/>
    <w:rsid w:val="008514DE"/>
    <w:rsid w:val="00865638"/>
    <w:rsid w:val="00880CE3"/>
    <w:rsid w:val="00880F19"/>
    <w:rsid w:val="00881DCC"/>
    <w:rsid w:val="00887070"/>
    <w:rsid w:val="0089797D"/>
    <w:rsid w:val="008A7742"/>
    <w:rsid w:val="008C06A4"/>
    <w:rsid w:val="008C1CB8"/>
    <w:rsid w:val="008E033E"/>
    <w:rsid w:val="008E6336"/>
    <w:rsid w:val="008E6A3A"/>
    <w:rsid w:val="008F451C"/>
    <w:rsid w:val="008F5AA7"/>
    <w:rsid w:val="0090640F"/>
    <w:rsid w:val="00913F37"/>
    <w:rsid w:val="00915E68"/>
    <w:rsid w:val="00917F77"/>
    <w:rsid w:val="00920018"/>
    <w:rsid w:val="00932B17"/>
    <w:rsid w:val="009411F4"/>
    <w:rsid w:val="00943391"/>
    <w:rsid w:val="009462F3"/>
    <w:rsid w:val="00947089"/>
    <w:rsid w:val="009506BA"/>
    <w:rsid w:val="00950BD6"/>
    <w:rsid w:val="009513DD"/>
    <w:rsid w:val="00951DC7"/>
    <w:rsid w:val="00962176"/>
    <w:rsid w:val="009710AC"/>
    <w:rsid w:val="00972AB4"/>
    <w:rsid w:val="00982336"/>
    <w:rsid w:val="00986A31"/>
    <w:rsid w:val="00997DED"/>
    <w:rsid w:val="009A3ACA"/>
    <w:rsid w:val="009A490B"/>
    <w:rsid w:val="009B06A0"/>
    <w:rsid w:val="009B2D4E"/>
    <w:rsid w:val="009C2FEC"/>
    <w:rsid w:val="009D7710"/>
    <w:rsid w:val="009E07EE"/>
    <w:rsid w:val="009E69F4"/>
    <w:rsid w:val="009F69C3"/>
    <w:rsid w:val="00A1144E"/>
    <w:rsid w:val="00A159F1"/>
    <w:rsid w:val="00A209E5"/>
    <w:rsid w:val="00A20A54"/>
    <w:rsid w:val="00A26D0C"/>
    <w:rsid w:val="00A271AA"/>
    <w:rsid w:val="00A36307"/>
    <w:rsid w:val="00A52D42"/>
    <w:rsid w:val="00A5315C"/>
    <w:rsid w:val="00A579E8"/>
    <w:rsid w:val="00A7357F"/>
    <w:rsid w:val="00A8178F"/>
    <w:rsid w:val="00A93E23"/>
    <w:rsid w:val="00A94C40"/>
    <w:rsid w:val="00AA79AC"/>
    <w:rsid w:val="00AB04D7"/>
    <w:rsid w:val="00AB15E1"/>
    <w:rsid w:val="00AD0EB7"/>
    <w:rsid w:val="00AD11A2"/>
    <w:rsid w:val="00AD696D"/>
    <w:rsid w:val="00AE1A6A"/>
    <w:rsid w:val="00AE56B2"/>
    <w:rsid w:val="00AF3D79"/>
    <w:rsid w:val="00B05128"/>
    <w:rsid w:val="00B16B70"/>
    <w:rsid w:val="00B32B40"/>
    <w:rsid w:val="00B41A56"/>
    <w:rsid w:val="00B43B75"/>
    <w:rsid w:val="00B442B2"/>
    <w:rsid w:val="00B66149"/>
    <w:rsid w:val="00B67E3E"/>
    <w:rsid w:val="00B72461"/>
    <w:rsid w:val="00B9378B"/>
    <w:rsid w:val="00B953F9"/>
    <w:rsid w:val="00B958A5"/>
    <w:rsid w:val="00BC7D25"/>
    <w:rsid w:val="00BD2307"/>
    <w:rsid w:val="00BE1E89"/>
    <w:rsid w:val="00BF3C40"/>
    <w:rsid w:val="00BF5CBB"/>
    <w:rsid w:val="00C05118"/>
    <w:rsid w:val="00C06DB4"/>
    <w:rsid w:val="00C31626"/>
    <w:rsid w:val="00C340BA"/>
    <w:rsid w:val="00C5009B"/>
    <w:rsid w:val="00C50EDB"/>
    <w:rsid w:val="00C53075"/>
    <w:rsid w:val="00C61649"/>
    <w:rsid w:val="00C64C54"/>
    <w:rsid w:val="00C74D3E"/>
    <w:rsid w:val="00C77884"/>
    <w:rsid w:val="00C850EC"/>
    <w:rsid w:val="00C860D7"/>
    <w:rsid w:val="00C90965"/>
    <w:rsid w:val="00C94755"/>
    <w:rsid w:val="00C94A51"/>
    <w:rsid w:val="00C96FD7"/>
    <w:rsid w:val="00CA0061"/>
    <w:rsid w:val="00CA329C"/>
    <w:rsid w:val="00CB4562"/>
    <w:rsid w:val="00CD6F77"/>
    <w:rsid w:val="00CE6E58"/>
    <w:rsid w:val="00D0100A"/>
    <w:rsid w:val="00D03618"/>
    <w:rsid w:val="00D05A70"/>
    <w:rsid w:val="00D147FF"/>
    <w:rsid w:val="00D16CEF"/>
    <w:rsid w:val="00D27EE2"/>
    <w:rsid w:val="00D36366"/>
    <w:rsid w:val="00D36B6E"/>
    <w:rsid w:val="00D63007"/>
    <w:rsid w:val="00D813AF"/>
    <w:rsid w:val="00D97EB9"/>
    <w:rsid w:val="00DA4247"/>
    <w:rsid w:val="00DA563E"/>
    <w:rsid w:val="00DB04EB"/>
    <w:rsid w:val="00DB4C52"/>
    <w:rsid w:val="00DB4FBD"/>
    <w:rsid w:val="00DB52A6"/>
    <w:rsid w:val="00DB58C9"/>
    <w:rsid w:val="00DC186A"/>
    <w:rsid w:val="00DE2126"/>
    <w:rsid w:val="00E37CA8"/>
    <w:rsid w:val="00E37F85"/>
    <w:rsid w:val="00E46FF7"/>
    <w:rsid w:val="00E50ADC"/>
    <w:rsid w:val="00E54358"/>
    <w:rsid w:val="00E67AA0"/>
    <w:rsid w:val="00E7158F"/>
    <w:rsid w:val="00E72B5A"/>
    <w:rsid w:val="00E74A75"/>
    <w:rsid w:val="00E84AFD"/>
    <w:rsid w:val="00EB6DB9"/>
    <w:rsid w:val="00EB7FE8"/>
    <w:rsid w:val="00EC3203"/>
    <w:rsid w:val="00EC53A7"/>
    <w:rsid w:val="00EF73D0"/>
    <w:rsid w:val="00EF7438"/>
    <w:rsid w:val="00F008B8"/>
    <w:rsid w:val="00F14A56"/>
    <w:rsid w:val="00F16FD4"/>
    <w:rsid w:val="00F276B1"/>
    <w:rsid w:val="00F30A7B"/>
    <w:rsid w:val="00F4734A"/>
    <w:rsid w:val="00F52693"/>
    <w:rsid w:val="00F6318E"/>
    <w:rsid w:val="00F63DA7"/>
    <w:rsid w:val="00F654FD"/>
    <w:rsid w:val="00F75800"/>
    <w:rsid w:val="00FB6195"/>
    <w:rsid w:val="00FC4D65"/>
    <w:rsid w:val="00FC5961"/>
    <w:rsid w:val="00FD1A0D"/>
    <w:rsid w:val="00FE1907"/>
    <w:rsid w:val="00FE53E5"/>
    <w:rsid w:val="00FE55AB"/>
    <w:rsid w:val="00FF40B9"/>
    <w:rsid w:val="00FF57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7E4C3"/>
  <w15:chartTrackingRefBased/>
  <w15:docId w15:val="{5C971E07-BD0E-4A14-9B3F-8C232576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6761"/>
    <w:pPr>
      <w:spacing w:after="0" w:line="240" w:lineRule="auto"/>
    </w:pPr>
    <w:rPr>
      <w:rFonts w:eastAsiaTheme="minorEastAsia"/>
      <w:kern w:val="0"/>
      <w:sz w:val="24"/>
      <w:szCs w:val="24"/>
      <w:lang w:eastAsia="zh-CN"/>
      <w14:ligatures w14:val="none"/>
    </w:rPr>
  </w:style>
  <w:style w:type="paragraph" w:styleId="Ttulo1">
    <w:name w:val="heading 1"/>
    <w:basedOn w:val="Normal"/>
    <w:next w:val="Normal"/>
    <w:link w:val="Ttulo1Car"/>
    <w:uiPriority w:val="9"/>
    <w:qFormat/>
    <w:rsid w:val="007F3E73"/>
    <w:pPr>
      <w:outlineLvl w:val="0"/>
    </w:pPr>
    <w:rPr>
      <w:rFonts w:ascii="Georgia" w:eastAsiaTheme="majorEastAsia" w:hAnsi="Georgia" w:cstheme="majorBidi"/>
      <w:b/>
      <w:bCs/>
      <w:color w:val="2F5496" w:themeColor="accent1" w:themeShade="BF"/>
      <w:lang w:val="es-ES"/>
    </w:rPr>
  </w:style>
  <w:style w:type="paragraph" w:styleId="Ttulo2">
    <w:name w:val="heading 2"/>
    <w:basedOn w:val="Normal"/>
    <w:next w:val="Normal"/>
    <w:link w:val="Ttulo2Car"/>
    <w:uiPriority w:val="9"/>
    <w:unhideWhenUsed/>
    <w:qFormat/>
    <w:rsid w:val="00F6318E"/>
    <w:pPr>
      <w:outlineLvl w:val="1"/>
    </w:pPr>
    <w:rPr>
      <w:rFonts w:ascii="Georgia" w:eastAsiaTheme="majorEastAsia" w:hAnsi="Georgia" w:cstheme="majorBidi"/>
      <w:b/>
      <w:bCs/>
      <w:color w:val="2F5496" w:themeColor="accent1" w:themeShade="BF"/>
      <w:lang w:val="es-ES"/>
    </w:rPr>
  </w:style>
  <w:style w:type="paragraph" w:styleId="Ttulo3">
    <w:name w:val="heading 3"/>
    <w:basedOn w:val="Ttulo2"/>
    <w:next w:val="Normal"/>
    <w:link w:val="Ttulo3Car"/>
    <w:uiPriority w:val="9"/>
    <w:unhideWhenUsed/>
    <w:qFormat/>
    <w:rsid w:val="00F6318E"/>
    <w:pPr>
      <w:outlineLvl w:val="2"/>
    </w:pPr>
    <w:rPr>
      <w:rFonts w:eastAsia="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B15"/>
    <w:pPr>
      <w:tabs>
        <w:tab w:val="center" w:pos="4419"/>
        <w:tab w:val="right" w:pos="8838"/>
      </w:tabs>
    </w:pPr>
  </w:style>
  <w:style w:type="character" w:customStyle="1" w:styleId="EncabezadoCar">
    <w:name w:val="Encabezado Car"/>
    <w:basedOn w:val="Fuentedeprrafopredeter"/>
    <w:link w:val="Encabezado"/>
    <w:uiPriority w:val="99"/>
    <w:rsid w:val="00030B15"/>
  </w:style>
  <w:style w:type="paragraph" w:styleId="Piedepgina">
    <w:name w:val="footer"/>
    <w:basedOn w:val="Normal"/>
    <w:link w:val="PiedepginaCar"/>
    <w:uiPriority w:val="99"/>
    <w:unhideWhenUsed/>
    <w:rsid w:val="00030B15"/>
    <w:pPr>
      <w:tabs>
        <w:tab w:val="center" w:pos="4419"/>
        <w:tab w:val="right" w:pos="8838"/>
      </w:tabs>
    </w:pPr>
  </w:style>
  <w:style w:type="character" w:customStyle="1" w:styleId="PiedepginaCar">
    <w:name w:val="Pie de página Car"/>
    <w:basedOn w:val="Fuentedeprrafopredeter"/>
    <w:link w:val="Piedepgina"/>
    <w:uiPriority w:val="99"/>
    <w:rsid w:val="00030B15"/>
  </w:style>
  <w:style w:type="paragraph" w:styleId="Prrafodelista">
    <w:name w:val="List Paragraph"/>
    <w:aliases w:val="Ha,Segundo nivel de viñetas,List Paragraph1,Normal. Viñetas,titulo 3,Título de Diagrama,Bolita,Párrafo de lista21,Párrafo de lista4,Párrafo de lista5,VIÑETA,Lista vistosa - Énfasis 11,List Paragraph,BOLA,BOLADEF,Segundo nivel de vi–etas"/>
    <w:basedOn w:val="Normal"/>
    <w:link w:val="PrrafodelistaCar"/>
    <w:uiPriority w:val="34"/>
    <w:qFormat/>
    <w:rsid w:val="00363DC4"/>
    <w:pPr>
      <w:ind w:left="720"/>
      <w:contextualSpacing/>
    </w:p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363DC4"/>
    <w:rPr>
      <w:sz w:val="20"/>
      <w:szCs w:val="20"/>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rsid w:val="00363DC4"/>
    <w:rPr>
      <w:rFonts w:eastAsiaTheme="minorEastAsia"/>
      <w:kern w:val="0"/>
      <w:sz w:val="20"/>
      <w:szCs w:val="20"/>
      <w:lang w:eastAsia="zh-CN"/>
      <w14:ligatures w14:val="none"/>
    </w:r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363DC4"/>
    <w:rPr>
      <w:vertAlign w:val="superscript"/>
    </w:rPr>
  </w:style>
  <w:style w:type="paragraph" w:styleId="Revisin">
    <w:name w:val="Revision"/>
    <w:hidden/>
    <w:uiPriority w:val="99"/>
    <w:semiHidden/>
    <w:rsid w:val="00447831"/>
    <w:pPr>
      <w:spacing w:after="0" w:line="240" w:lineRule="auto"/>
    </w:pPr>
    <w:rPr>
      <w:rFonts w:eastAsiaTheme="minorEastAsia"/>
      <w:kern w:val="0"/>
      <w:sz w:val="24"/>
      <w:szCs w:val="24"/>
      <w:lang w:eastAsia="zh-CN"/>
      <w14:ligatures w14:val="none"/>
    </w:rPr>
  </w:style>
  <w:style w:type="character" w:customStyle="1" w:styleId="Ttulo1Car">
    <w:name w:val="Título 1 Car"/>
    <w:basedOn w:val="Fuentedeprrafopredeter"/>
    <w:link w:val="Ttulo1"/>
    <w:uiPriority w:val="9"/>
    <w:rsid w:val="007F3E73"/>
    <w:rPr>
      <w:rFonts w:ascii="Georgia" w:eastAsiaTheme="majorEastAsia" w:hAnsi="Georgia" w:cstheme="majorBidi"/>
      <w:b/>
      <w:bCs/>
      <w:color w:val="2F5496" w:themeColor="accent1" w:themeShade="BF"/>
      <w:kern w:val="0"/>
      <w:sz w:val="24"/>
      <w:szCs w:val="24"/>
      <w:lang w:val="es-ES" w:eastAsia="zh-CN"/>
      <w14:ligatures w14:val="none"/>
    </w:rPr>
  </w:style>
  <w:style w:type="paragraph" w:styleId="TtuloTDC">
    <w:name w:val="TOC Heading"/>
    <w:basedOn w:val="Ttulo1"/>
    <w:next w:val="Normal"/>
    <w:uiPriority w:val="39"/>
    <w:unhideWhenUsed/>
    <w:qFormat/>
    <w:rsid w:val="00F14A56"/>
    <w:pPr>
      <w:spacing w:line="259" w:lineRule="auto"/>
      <w:outlineLvl w:val="9"/>
    </w:pPr>
    <w:rPr>
      <w:lang w:eastAsia="es-CO"/>
    </w:rPr>
  </w:style>
  <w:style w:type="paragraph" w:styleId="TDC1">
    <w:name w:val="toc 1"/>
    <w:basedOn w:val="Normal"/>
    <w:next w:val="Normal"/>
    <w:autoRedefine/>
    <w:uiPriority w:val="39"/>
    <w:unhideWhenUsed/>
    <w:rsid w:val="001162B8"/>
    <w:pPr>
      <w:tabs>
        <w:tab w:val="right" w:leader="dot" w:pos="8828"/>
      </w:tabs>
      <w:spacing w:after="100"/>
    </w:pPr>
  </w:style>
  <w:style w:type="character" w:styleId="Hipervnculo">
    <w:name w:val="Hyperlink"/>
    <w:basedOn w:val="Fuentedeprrafopredeter"/>
    <w:uiPriority w:val="99"/>
    <w:unhideWhenUsed/>
    <w:rsid w:val="00F14A56"/>
    <w:rPr>
      <w:color w:val="0563C1" w:themeColor="hyperlink"/>
      <w:u w:val="single"/>
    </w:rPr>
  </w:style>
  <w:style w:type="table" w:styleId="Tablaconcuadrcula">
    <w:name w:val="Table Grid"/>
    <w:basedOn w:val="Tablanormal"/>
    <w:uiPriority w:val="39"/>
    <w:rsid w:val="00E46FF7"/>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clara">
    <w:name w:val="Grid Table Light"/>
    <w:basedOn w:val="Tablanormal"/>
    <w:uiPriority w:val="40"/>
    <w:rsid w:val="00E46FF7"/>
    <w:pPr>
      <w:spacing w:after="0" w:line="240" w:lineRule="auto"/>
    </w:pPr>
    <w:rPr>
      <w:kern w:val="0"/>
      <w:lang w:val="es-E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F6318E"/>
    <w:rPr>
      <w:rFonts w:ascii="Georgia" w:eastAsiaTheme="majorEastAsia" w:hAnsi="Georgia" w:cstheme="majorBidi"/>
      <w:b/>
      <w:bCs/>
      <w:color w:val="2F5496" w:themeColor="accent1" w:themeShade="BF"/>
      <w:kern w:val="0"/>
      <w:sz w:val="24"/>
      <w:szCs w:val="24"/>
      <w:lang w:val="es-ES" w:eastAsia="zh-CN"/>
      <w14:ligatures w14:val="none"/>
    </w:rPr>
  </w:style>
  <w:style w:type="character" w:customStyle="1" w:styleId="Ttulo3Car">
    <w:name w:val="Título 3 Car"/>
    <w:basedOn w:val="Fuentedeprrafopredeter"/>
    <w:link w:val="Ttulo3"/>
    <w:uiPriority w:val="9"/>
    <w:rsid w:val="00F6318E"/>
    <w:rPr>
      <w:rFonts w:ascii="Georgia" w:eastAsia="Arial" w:hAnsi="Georgia" w:cstheme="majorBidi"/>
      <w:b/>
      <w:bCs/>
      <w:color w:val="2F5496" w:themeColor="accent1" w:themeShade="BF"/>
      <w:kern w:val="0"/>
      <w:sz w:val="24"/>
      <w:szCs w:val="24"/>
      <w:lang w:val="es-ES" w:eastAsia="zh-CN"/>
      <w14:ligatures w14:val="none"/>
    </w:rPr>
  </w:style>
  <w:style w:type="paragraph" w:styleId="Descripcin">
    <w:name w:val="caption"/>
    <w:basedOn w:val="Normal"/>
    <w:next w:val="Normal"/>
    <w:uiPriority w:val="35"/>
    <w:unhideWhenUsed/>
    <w:qFormat/>
    <w:rsid w:val="00BF3C40"/>
    <w:pPr>
      <w:spacing w:after="200"/>
    </w:pPr>
    <w:rPr>
      <w:rFonts w:eastAsiaTheme="minorHAnsi"/>
      <w:i/>
      <w:iCs/>
      <w:color w:val="44546A" w:themeColor="text2"/>
      <w:kern w:val="2"/>
      <w:sz w:val="18"/>
      <w:szCs w:val="18"/>
      <w:lang w:eastAsia="en-US"/>
      <w14:ligatures w14:val="standardContextual"/>
    </w:rPr>
  </w:style>
  <w:style w:type="character" w:customStyle="1" w:styleId="PrrafodelistaCar">
    <w:name w:val="Párrafo de lista Car"/>
    <w:aliases w:val="Ha Car,Segundo nivel de viñetas Car,List Paragraph1 Car,Normal. Viñetas Car,titulo 3 Car,Título de Diagrama Car,Bolita Car,Párrafo de lista21 Car,Párrafo de lista4 Car,Párrafo de lista5 Car,VIÑETA Car,Lista vistosa - Énfasis 11 Car"/>
    <w:link w:val="Prrafodelista"/>
    <w:uiPriority w:val="34"/>
    <w:qFormat/>
    <w:rsid w:val="00377FAA"/>
    <w:rPr>
      <w:rFonts w:eastAsiaTheme="minorEastAsia"/>
      <w:kern w:val="0"/>
      <w:sz w:val="24"/>
      <w:szCs w:val="24"/>
      <w:lang w:eastAsia="zh-CN"/>
      <w14:ligatures w14:val="none"/>
    </w:rPr>
  </w:style>
  <w:style w:type="paragraph" w:customStyle="1" w:styleId="paragraph">
    <w:name w:val="paragraph"/>
    <w:basedOn w:val="Normal"/>
    <w:rsid w:val="00377FAA"/>
    <w:pPr>
      <w:spacing w:before="100" w:beforeAutospacing="1" w:after="100" w:afterAutospacing="1"/>
    </w:pPr>
    <w:rPr>
      <w:rFonts w:ascii="Times New Roman" w:eastAsia="Times New Roman" w:hAnsi="Times New Roman" w:cs="Times New Roman"/>
      <w:lang w:eastAsia="es-CO"/>
    </w:rPr>
  </w:style>
  <w:style w:type="paragraph" w:styleId="TDC2">
    <w:name w:val="toc 2"/>
    <w:basedOn w:val="Normal"/>
    <w:next w:val="Normal"/>
    <w:autoRedefine/>
    <w:uiPriority w:val="39"/>
    <w:unhideWhenUsed/>
    <w:rsid w:val="006B3A30"/>
    <w:pPr>
      <w:spacing w:after="100"/>
      <w:ind w:left="240"/>
    </w:pPr>
  </w:style>
  <w:style w:type="paragraph" w:styleId="TDC3">
    <w:name w:val="toc 3"/>
    <w:basedOn w:val="Normal"/>
    <w:next w:val="Normal"/>
    <w:autoRedefine/>
    <w:uiPriority w:val="39"/>
    <w:unhideWhenUsed/>
    <w:rsid w:val="006B3A30"/>
    <w:pPr>
      <w:spacing w:after="100"/>
      <w:ind w:left="480"/>
    </w:pPr>
  </w:style>
  <w:style w:type="paragraph" w:customStyle="1" w:styleId="Default">
    <w:name w:val="Default"/>
    <w:rsid w:val="00E67AA0"/>
    <w:pPr>
      <w:autoSpaceDE w:val="0"/>
      <w:autoSpaceDN w:val="0"/>
      <w:adjustRightInd w:val="0"/>
      <w:spacing w:after="0" w:line="240" w:lineRule="auto"/>
    </w:pPr>
    <w:rPr>
      <w:rFonts w:ascii="Arial" w:eastAsia="Times New Roman" w:hAnsi="Arial" w:cs="Arial"/>
      <w:color w:val="000000"/>
      <w:kern w:val="0"/>
      <w:sz w:val="24"/>
      <w:szCs w:val="24"/>
      <w:lang w:eastAsia="es-CO"/>
      <w14:ligatures w14:val="none"/>
    </w:rPr>
  </w:style>
  <w:style w:type="character" w:styleId="Refdecomentario">
    <w:name w:val="annotation reference"/>
    <w:basedOn w:val="Fuentedeprrafopredeter"/>
    <w:uiPriority w:val="99"/>
    <w:semiHidden/>
    <w:unhideWhenUsed/>
    <w:rsid w:val="006F190C"/>
    <w:rPr>
      <w:sz w:val="16"/>
      <w:szCs w:val="16"/>
    </w:rPr>
  </w:style>
  <w:style w:type="paragraph" w:styleId="Textocomentario">
    <w:name w:val="annotation text"/>
    <w:basedOn w:val="Normal"/>
    <w:link w:val="TextocomentarioCar"/>
    <w:uiPriority w:val="99"/>
    <w:semiHidden/>
    <w:unhideWhenUsed/>
    <w:rsid w:val="006F190C"/>
    <w:rPr>
      <w:sz w:val="20"/>
      <w:szCs w:val="20"/>
    </w:rPr>
  </w:style>
  <w:style w:type="character" w:customStyle="1" w:styleId="TextocomentarioCar">
    <w:name w:val="Texto comentario Car"/>
    <w:basedOn w:val="Fuentedeprrafopredeter"/>
    <w:link w:val="Textocomentario"/>
    <w:uiPriority w:val="99"/>
    <w:semiHidden/>
    <w:rsid w:val="006F190C"/>
    <w:rPr>
      <w:rFonts w:eastAsiaTheme="minorEastAsia"/>
      <w:kern w:val="0"/>
      <w:sz w:val="20"/>
      <w:szCs w:val="20"/>
      <w:lang w:eastAsia="zh-CN"/>
      <w14:ligatures w14:val="none"/>
    </w:rPr>
  </w:style>
  <w:style w:type="paragraph" w:styleId="Asuntodelcomentario">
    <w:name w:val="annotation subject"/>
    <w:basedOn w:val="Textocomentario"/>
    <w:next w:val="Textocomentario"/>
    <w:link w:val="AsuntodelcomentarioCar"/>
    <w:uiPriority w:val="99"/>
    <w:semiHidden/>
    <w:unhideWhenUsed/>
    <w:rsid w:val="006F190C"/>
    <w:rPr>
      <w:b/>
      <w:bCs/>
    </w:rPr>
  </w:style>
  <w:style w:type="character" w:customStyle="1" w:styleId="AsuntodelcomentarioCar">
    <w:name w:val="Asunto del comentario Car"/>
    <w:basedOn w:val="TextocomentarioCar"/>
    <w:link w:val="Asuntodelcomentario"/>
    <w:uiPriority w:val="99"/>
    <w:semiHidden/>
    <w:rsid w:val="006F190C"/>
    <w:rPr>
      <w:rFonts w:eastAsiaTheme="minorEastAsia"/>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4D83-ECAC-6C4A-A20B-9C808535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8166</Words>
  <Characters>44919</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Felipe Perez Prieto (CGR)</dc:creator>
  <cp:keywords/>
  <dc:description/>
  <cp:lastModifiedBy>Jorge Horacio Rodríguez Figueroa</cp:lastModifiedBy>
  <cp:revision>2</cp:revision>
  <cp:lastPrinted>2024-11-25T14:41:00Z</cp:lastPrinted>
  <dcterms:created xsi:type="dcterms:W3CDTF">2024-11-25T14:42:00Z</dcterms:created>
  <dcterms:modified xsi:type="dcterms:W3CDTF">2024-11-25T14:42:00Z</dcterms:modified>
</cp:coreProperties>
</file>